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C339F" w14:textId="7FE5685A" w:rsidR="00445B3A" w:rsidRPr="004D31A5" w:rsidRDefault="00445B3A" w:rsidP="00445B3A">
      <w:pPr>
        <w:pStyle w:val="a3"/>
        <w:tabs>
          <w:tab w:val="right" w:pos="9639"/>
        </w:tabs>
        <w:rPr>
          <w:rFonts w:eastAsia="MS Mincho"/>
          <w:noProof w:val="0"/>
          <w:sz w:val="24"/>
          <w:szCs w:val="24"/>
          <w:lang w:val="en-GB" w:eastAsia="en-GB"/>
        </w:rPr>
      </w:pPr>
      <w:r w:rsidRPr="004D31A5">
        <w:rPr>
          <w:rFonts w:eastAsia="MS Mincho"/>
          <w:noProof w:val="0"/>
          <w:sz w:val="24"/>
          <w:szCs w:val="24"/>
          <w:lang w:val="en-GB" w:eastAsia="en-GB"/>
        </w:rPr>
        <w:t>3GPP TSG-RAN WG2 Meeting #130</w:t>
      </w:r>
      <w:r w:rsidRPr="004D31A5">
        <w:rPr>
          <w:rFonts w:eastAsia="MS Mincho"/>
          <w:noProof w:val="0"/>
          <w:sz w:val="24"/>
          <w:szCs w:val="24"/>
          <w:lang w:val="en-GB" w:eastAsia="en-GB"/>
        </w:rPr>
        <w:tab/>
      </w:r>
      <w:r w:rsidR="00385963" w:rsidRPr="00385963">
        <w:rPr>
          <w:rFonts w:eastAsia="MS Mincho"/>
          <w:noProof w:val="0"/>
          <w:sz w:val="24"/>
          <w:szCs w:val="24"/>
          <w:lang w:val="en-GB" w:eastAsia="en-GB"/>
        </w:rPr>
        <w:t>R2-2503907</w:t>
      </w:r>
    </w:p>
    <w:p w14:paraId="2E84BF4A" w14:textId="48167733" w:rsidR="006673F2" w:rsidRPr="00445B3A" w:rsidRDefault="00445B3A" w:rsidP="006673F2">
      <w:pPr>
        <w:pStyle w:val="a3"/>
        <w:tabs>
          <w:tab w:val="right" w:pos="9639"/>
        </w:tabs>
        <w:jc w:val="both"/>
        <w:rPr>
          <w:rFonts w:eastAsiaTheme="minorEastAsia" w:cs="Arial"/>
          <w:b w:val="0"/>
          <w:bCs/>
          <w:i/>
          <w:iCs/>
          <w:sz w:val="24"/>
          <w:lang w:eastAsia="zh-CN"/>
        </w:rPr>
      </w:pPr>
      <w:r w:rsidRPr="004D31A5">
        <w:rPr>
          <w:rFonts w:eastAsia="MS Mincho"/>
          <w:noProof w:val="0"/>
          <w:sz w:val="24"/>
          <w:szCs w:val="24"/>
          <w:lang w:val="en-GB" w:eastAsia="en-GB"/>
        </w:rPr>
        <w:t>St. Julians, Malta,</w:t>
      </w:r>
      <w:r>
        <w:rPr>
          <w:rFonts w:eastAsiaTheme="minorEastAsia" w:hint="eastAsia"/>
          <w:noProof w:val="0"/>
          <w:sz w:val="24"/>
          <w:szCs w:val="24"/>
          <w:lang w:val="en-GB" w:eastAsia="zh-CN"/>
        </w:rPr>
        <w:t xml:space="preserve"> </w:t>
      </w:r>
      <w:r w:rsidRPr="004D31A5">
        <w:rPr>
          <w:rFonts w:eastAsia="MS Mincho"/>
          <w:noProof w:val="0"/>
          <w:sz w:val="24"/>
          <w:szCs w:val="24"/>
          <w:lang w:val="en-GB" w:eastAsia="en-GB"/>
        </w:rPr>
        <w:t>May 19</w:t>
      </w:r>
      <w:r w:rsidRPr="004D31A5">
        <w:rPr>
          <w:rFonts w:eastAsia="MS Mincho"/>
          <w:noProof w:val="0"/>
          <w:sz w:val="24"/>
          <w:szCs w:val="24"/>
          <w:vertAlign w:val="superscript"/>
          <w:lang w:val="en-GB" w:eastAsia="en-GB"/>
        </w:rPr>
        <w:t>th</w:t>
      </w:r>
      <w:r w:rsidRPr="004D31A5">
        <w:rPr>
          <w:rFonts w:eastAsia="MS Mincho"/>
          <w:noProof w:val="0"/>
          <w:sz w:val="24"/>
          <w:szCs w:val="24"/>
          <w:lang w:val="en-GB" w:eastAsia="en-GB"/>
        </w:rPr>
        <w:t xml:space="preserve"> – 23</w:t>
      </w:r>
      <w:r w:rsidRPr="004D31A5">
        <w:rPr>
          <w:rFonts w:eastAsia="MS Mincho"/>
          <w:noProof w:val="0"/>
          <w:sz w:val="24"/>
          <w:szCs w:val="24"/>
          <w:vertAlign w:val="superscript"/>
          <w:lang w:val="en-GB" w:eastAsia="en-GB"/>
        </w:rPr>
        <w:t>rd</w:t>
      </w:r>
      <w:r w:rsidRPr="004D31A5">
        <w:rPr>
          <w:rFonts w:eastAsia="MS Mincho"/>
          <w:noProof w:val="0"/>
          <w:sz w:val="24"/>
          <w:szCs w:val="24"/>
          <w:lang w:val="en-GB" w:eastAsia="en-GB"/>
        </w:rPr>
        <w:t>, 2025</w:t>
      </w:r>
      <w:r w:rsidRPr="00445B3A">
        <w:rPr>
          <w:rFonts w:eastAsiaTheme="minorEastAsia" w:hint="eastAsia"/>
          <w:b w:val="0"/>
          <w:bCs/>
          <w:noProof w:val="0"/>
          <w:sz w:val="24"/>
          <w:szCs w:val="24"/>
          <w:lang w:val="en-GB" w:eastAsia="zh-CN"/>
        </w:rPr>
        <w:t xml:space="preserve">    </w:t>
      </w:r>
      <w:r>
        <w:rPr>
          <w:rFonts w:eastAsiaTheme="minorEastAsia" w:hint="eastAsia"/>
          <w:b w:val="0"/>
          <w:bCs/>
          <w:noProof w:val="0"/>
          <w:sz w:val="24"/>
          <w:szCs w:val="24"/>
          <w:lang w:val="en-GB" w:eastAsia="zh-CN"/>
        </w:rPr>
        <w:t xml:space="preserve">      </w:t>
      </w:r>
      <w:r w:rsidRPr="00445B3A">
        <w:rPr>
          <w:rFonts w:eastAsiaTheme="minorEastAsia" w:hint="eastAsia"/>
          <w:b w:val="0"/>
          <w:bCs/>
          <w:noProof w:val="0"/>
          <w:sz w:val="24"/>
          <w:szCs w:val="24"/>
          <w:lang w:val="en-GB" w:eastAsia="zh-CN"/>
        </w:rPr>
        <w:t xml:space="preserve">             Revision of R2-2502354</w:t>
      </w:r>
    </w:p>
    <w:p w14:paraId="1A10DE58" w14:textId="77777777" w:rsidR="00186BCD" w:rsidRPr="006673F2"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4229F5DD"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8.8.</w:t>
      </w:r>
      <w:r w:rsidR="006673F2">
        <w:rPr>
          <w:rFonts w:eastAsia="宋体" w:cs="Arial" w:hint="eastAsia"/>
          <w:b/>
          <w:bCs/>
          <w:kern w:val="2"/>
          <w:sz w:val="24"/>
          <w:szCs w:val="22"/>
          <w:lang w:val="en-US" w:eastAsia="zh-CN"/>
        </w:rPr>
        <w:t>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594A3FD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6673F2" w:rsidRPr="006673F2">
        <w:rPr>
          <w:rFonts w:ascii="Arial" w:hAnsi="Arial" w:cs="Arial"/>
          <w:b/>
          <w:bCs/>
          <w:sz w:val="24"/>
        </w:rPr>
        <w:t xml:space="preserve">Further considerations on ETWS support in </w:t>
      </w:r>
      <w:r w:rsidR="009D5E01" w:rsidRPr="009D5E01">
        <w:rPr>
          <w:rFonts w:ascii="Arial" w:hAnsi="Arial" w:cs="Arial"/>
          <w:b/>
          <w:bCs/>
          <w:sz w:val="24"/>
        </w:rPr>
        <w:t xml:space="preserve">NR </w:t>
      </w:r>
      <w:r w:rsidR="006673F2" w:rsidRPr="006673F2">
        <w:rPr>
          <w:rFonts w:ascii="Arial" w:hAnsi="Arial" w:cs="Arial"/>
          <w:b/>
          <w:bCs/>
          <w:sz w:val="24"/>
        </w:rPr>
        <w:t>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A0453FC" w14:textId="7E6ED69E" w:rsidR="00D07766" w:rsidRDefault="00D07766" w:rsidP="00D07766">
      <w:pPr>
        <w:spacing w:beforeLines="50" w:before="156" w:afterLines="50" w:after="156"/>
        <w:rPr>
          <w:rFonts w:ascii="Times New Roman" w:hAnsi="Times New Roman"/>
          <w:sz w:val="22"/>
        </w:rPr>
      </w:pPr>
      <w:r>
        <w:rPr>
          <w:rFonts w:ascii="Times New Roman" w:hAnsi="Times New Roman" w:hint="eastAsia"/>
          <w:sz w:val="22"/>
        </w:rPr>
        <w:t>The</w:t>
      </w:r>
      <w:r>
        <w:rPr>
          <w:rFonts w:ascii="Times New Roman" w:hAnsi="Times New Roman"/>
          <w:sz w:val="22"/>
        </w:rPr>
        <w:t xml:space="preserve"> latest RAN2 meeting</w:t>
      </w:r>
      <w:r>
        <w:rPr>
          <w:rFonts w:ascii="Times New Roman" w:hAnsi="Times New Roman" w:hint="eastAsia"/>
          <w:sz w:val="22"/>
        </w:rPr>
        <w:t>s</w:t>
      </w:r>
      <w:r>
        <w:rPr>
          <w:rFonts w:ascii="Times New Roman" w:hAnsi="Times New Roman"/>
          <w:sz w:val="22"/>
        </w:rPr>
        <w:t xml:space="preserve"> made the following agreements regarding</w:t>
      </w:r>
      <w:r>
        <w:rPr>
          <w:rFonts w:ascii="Times New Roman" w:hAnsi="Times New Roman" w:hint="eastAsia"/>
          <w:sz w:val="22"/>
        </w:rPr>
        <w:t xml:space="preserve"> </w:t>
      </w:r>
      <w:r w:rsidR="00445B3A">
        <w:rPr>
          <w:rFonts w:ascii="Times New Roman" w:hAnsi="Times New Roman" w:hint="eastAsia"/>
          <w:sz w:val="22"/>
        </w:rPr>
        <w:t>PWS</w:t>
      </w:r>
      <w:r>
        <w:rPr>
          <w:rFonts w:ascii="Times New Roman" w:hAnsi="Times New Roman" w:hint="eastAsia"/>
          <w:sz w:val="22"/>
        </w:rPr>
        <w:t xml:space="preserve"> </w:t>
      </w:r>
      <w:r>
        <w:rPr>
          <w:rFonts w:ascii="Times New Roman" w:hAnsi="Times New Roman"/>
          <w:sz w:val="22"/>
        </w:rPr>
        <w:t>broadcast services in NTN:</w:t>
      </w:r>
    </w:p>
    <w:tbl>
      <w:tblPr>
        <w:tblStyle w:val="af1"/>
        <w:tblW w:w="0" w:type="auto"/>
        <w:tblLook w:val="04A0" w:firstRow="1" w:lastRow="0" w:firstColumn="1" w:lastColumn="0" w:noHBand="0" w:noVBand="1"/>
      </w:tblPr>
      <w:tblGrid>
        <w:gridCol w:w="9629"/>
      </w:tblGrid>
      <w:tr w:rsidR="00D07766" w14:paraId="3C7D841D" w14:textId="77777777" w:rsidTr="00604466">
        <w:tc>
          <w:tcPr>
            <w:tcW w:w="9629" w:type="dxa"/>
          </w:tcPr>
          <w:p w14:paraId="40DFE245" w14:textId="77777777" w:rsidR="00D07766" w:rsidRPr="00A07227" w:rsidRDefault="00D07766" w:rsidP="00604466">
            <w:pPr>
              <w:rPr>
                <w:rFonts w:ascii="Times New Roman" w:hAnsi="Times New Roman"/>
                <w:b/>
                <w:bCs/>
                <w:sz w:val="22"/>
              </w:rPr>
            </w:pPr>
            <w:r w:rsidRPr="00A07227">
              <w:rPr>
                <w:rFonts w:ascii="Times New Roman" w:hAnsi="Times New Roman" w:hint="eastAsia"/>
                <w:b/>
                <w:bCs/>
                <w:sz w:val="22"/>
              </w:rPr>
              <w:t xml:space="preserve">RAN2#129 </w:t>
            </w:r>
            <w:r w:rsidRPr="00A07227">
              <w:rPr>
                <w:rFonts w:ascii="Times New Roman" w:hAnsi="Times New Roman"/>
                <w:b/>
                <w:bCs/>
                <w:sz w:val="22"/>
              </w:rPr>
              <w:t>Agreements:</w:t>
            </w:r>
          </w:p>
          <w:p w14:paraId="75453556" w14:textId="77777777" w:rsidR="00D07766" w:rsidRDefault="00D07766" w:rsidP="00D07766">
            <w:pPr>
              <w:pStyle w:val="a6"/>
              <w:numPr>
                <w:ilvl w:val="0"/>
                <w:numId w:val="38"/>
              </w:numPr>
              <w:spacing w:after="0"/>
              <w:ind w:left="442" w:firstLineChars="0" w:hanging="442"/>
              <w:rPr>
                <w:sz w:val="22"/>
              </w:rPr>
            </w:pPr>
            <w:r w:rsidRPr="00F533EE">
              <w:rPr>
                <w:sz w:val="22"/>
              </w:rPr>
              <w:t>Introduce “warning area coordinates” in ETWS Primary Notification (SIB6) and in ETWS Secondary Notification (SIB7). FFS on the signalling details for “warning area coordinates” (SIB6 is not segmented)</w:t>
            </w:r>
          </w:p>
          <w:p w14:paraId="7B1C22B8" w14:textId="77777777" w:rsidR="00D07766" w:rsidRPr="00A07227" w:rsidRDefault="00D07766" w:rsidP="00604466">
            <w:pPr>
              <w:rPr>
                <w:rFonts w:ascii="Times New Roman" w:hAnsi="Times New Roman"/>
                <w:b/>
                <w:bCs/>
                <w:sz w:val="22"/>
              </w:rPr>
            </w:pPr>
            <w:r w:rsidRPr="00A07227">
              <w:rPr>
                <w:rFonts w:ascii="Times New Roman" w:hAnsi="Times New Roman" w:hint="eastAsia"/>
                <w:b/>
                <w:bCs/>
                <w:sz w:val="22"/>
              </w:rPr>
              <w:t>RAN2#129</w:t>
            </w:r>
            <w:r>
              <w:rPr>
                <w:rFonts w:ascii="Times New Roman" w:hAnsi="Times New Roman" w:hint="eastAsia"/>
                <w:b/>
                <w:bCs/>
                <w:sz w:val="22"/>
              </w:rPr>
              <w:t>bis</w:t>
            </w:r>
            <w:r w:rsidRPr="00A07227">
              <w:rPr>
                <w:rFonts w:ascii="Times New Roman" w:hAnsi="Times New Roman" w:hint="eastAsia"/>
                <w:b/>
                <w:bCs/>
                <w:sz w:val="22"/>
              </w:rPr>
              <w:t xml:space="preserve"> </w:t>
            </w:r>
            <w:r w:rsidRPr="00A07227">
              <w:rPr>
                <w:rFonts w:ascii="Times New Roman" w:hAnsi="Times New Roman"/>
                <w:b/>
                <w:bCs/>
                <w:sz w:val="22"/>
              </w:rPr>
              <w:t>Agreements:</w:t>
            </w:r>
          </w:p>
          <w:p w14:paraId="420B09A3" w14:textId="77777777" w:rsidR="00D07766" w:rsidRPr="00E228A1" w:rsidRDefault="00D07766" w:rsidP="00D07766">
            <w:pPr>
              <w:pStyle w:val="a6"/>
              <w:numPr>
                <w:ilvl w:val="0"/>
                <w:numId w:val="42"/>
              </w:numPr>
              <w:spacing w:after="0"/>
              <w:ind w:firstLineChars="0"/>
              <w:rPr>
                <w:sz w:val="22"/>
              </w:rPr>
            </w:pPr>
            <w:r w:rsidRPr="00E228A1">
              <w:rPr>
                <w:sz w:val="22"/>
              </w:rPr>
              <w:t>The field warningAreaCoordinates is included in SIB6 while the field warningAreaCoordinatesSegment is included in SIB7 for ETWS primary/secondary notification to indicate Warning Area Coordinates IE</w:t>
            </w:r>
            <w:r>
              <w:rPr>
                <w:rFonts w:hint="eastAsia"/>
                <w:sz w:val="22"/>
                <w:lang w:eastAsia="zh-CN"/>
              </w:rPr>
              <w:t>.</w:t>
            </w:r>
          </w:p>
        </w:tc>
      </w:tr>
    </w:tbl>
    <w:p w14:paraId="15E88A35" w14:textId="2B6DED2D" w:rsidR="00150EBF" w:rsidRPr="00445B3A" w:rsidRDefault="00D07766" w:rsidP="00BF5F96">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n this contribution we</w:t>
      </w:r>
      <w:r>
        <w:rPr>
          <w:rFonts w:ascii="Times New Roman" w:hAnsi="Times New Roman"/>
          <w:sz w:val="22"/>
        </w:rPr>
        <w:t xml:space="preserve"> discuss </w:t>
      </w:r>
      <w:r>
        <w:rPr>
          <w:rFonts w:ascii="Times New Roman" w:hAnsi="Times New Roman" w:hint="eastAsia"/>
          <w:sz w:val="22"/>
        </w:rPr>
        <w:t>some remaining issues including ETWS geo-fencing</w:t>
      </w:r>
      <w:r>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015757E" w14:textId="77777777" w:rsidR="000B2F72" w:rsidRDefault="000B2F72" w:rsidP="00736DB1">
      <w:pPr>
        <w:spacing w:beforeLines="50" w:before="156" w:afterLines="50" w:after="156"/>
        <w:rPr>
          <w:rFonts w:ascii="Times New Roman" w:hAnsi="Times New Roman"/>
          <w:sz w:val="22"/>
        </w:rPr>
      </w:pPr>
      <w:r w:rsidRPr="000B2F72">
        <w:rPr>
          <w:rFonts w:ascii="Times New Roman" w:hAnsi="Times New Roman"/>
          <w:sz w:val="22"/>
        </w:rPr>
        <w:t xml:space="preserve">In previous releases before Rel-19 the PWS mechanisms are designed for TN, and UE can simply judge whether it is in an emergency broadcast service area by its serving cell and the corresponding PWS broadcast configuration it receives. This mechanism is workable based on the assumption that a PWS broadcast service area is larger than a TN cell coverage so that the service area can be mapped to one or more TN cells. </w:t>
      </w:r>
    </w:p>
    <w:p w14:paraId="25370A2E" w14:textId="0D49B5A7" w:rsidR="000B2F72" w:rsidRDefault="000B2F72" w:rsidP="00736DB1">
      <w:pPr>
        <w:spacing w:beforeLines="50" w:before="156" w:afterLines="50" w:after="156"/>
        <w:rPr>
          <w:rFonts w:ascii="Times New Roman" w:hAnsi="Times New Roman"/>
          <w:sz w:val="22"/>
        </w:rPr>
      </w:pPr>
      <w:r w:rsidRPr="000B2F72">
        <w:rPr>
          <w:rFonts w:ascii="Times New Roman" w:hAnsi="Times New Roman"/>
          <w:sz w:val="22"/>
        </w:rPr>
        <w:t xml:space="preserve">However, the diameter of an NTN cell could be much larger than an emergency broadcast service area. An NTN cell coverage may also across country border on one side of which an emergency broadcast service is not allowed or authorized. It is observed that, for ETWS there is no IE to describe a geographical area in the contents of legacy </w:t>
      </w:r>
      <w:r>
        <w:rPr>
          <w:rFonts w:ascii="Times New Roman" w:hAnsi="Times New Roman" w:hint="eastAsia"/>
          <w:sz w:val="22"/>
        </w:rPr>
        <w:t>NR</w:t>
      </w:r>
      <w:r w:rsidRPr="000B2F72">
        <w:rPr>
          <w:rFonts w:ascii="Times New Roman" w:hAnsi="Times New Roman"/>
          <w:sz w:val="22"/>
        </w:rPr>
        <w:t xml:space="preserve"> SIB</w:t>
      </w:r>
      <w:r>
        <w:rPr>
          <w:rFonts w:ascii="Times New Roman" w:hAnsi="Times New Roman" w:hint="eastAsia"/>
          <w:sz w:val="22"/>
        </w:rPr>
        <w:t>6</w:t>
      </w:r>
      <w:r w:rsidRPr="000B2F72">
        <w:rPr>
          <w:rFonts w:ascii="Times New Roman" w:hAnsi="Times New Roman"/>
          <w:sz w:val="22"/>
        </w:rPr>
        <w:t xml:space="preserve"> and SIB</w:t>
      </w:r>
      <w:r>
        <w:rPr>
          <w:rFonts w:ascii="Times New Roman" w:hAnsi="Times New Roman" w:hint="eastAsia"/>
          <w:sz w:val="22"/>
        </w:rPr>
        <w:t>7</w:t>
      </w:r>
      <w:r w:rsidRPr="000B2F72">
        <w:rPr>
          <w:rFonts w:ascii="Times New Roman" w:hAnsi="Times New Roman"/>
          <w:sz w:val="22"/>
        </w:rPr>
        <w:t xml:space="preserve">, while for CMAS as an optional IE </w:t>
      </w:r>
      <w:r w:rsidRPr="000B2F72">
        <w:rPr>
          <w:rFonts w:ascii="Times New Roman" w:hAnsi="Times New Roman"/>
          <w:i/>
          <w:iCs/>
          <w:sz w:val="22"/>
        </w:rPr>
        <w:t>warningAreaCoordinatesSegment</w:t>
      </w:r>
      <w:r w:rsidRPr="000B2F72">
        <w:rPr>
          <w:rFonts w:ascii="Times New Roman" w:hAnsi="Times New Roman"/>
          <w:sz w:val="22"/>
        </w:rPr>
        <w:t xml:space="preserve"> was introduced in SIB</w:t>
      </w:r>
      <w:r>
        <w:rPr>
          <w:rFonts w:ascii="Times New Roman" w:hAnsi="Times New Roman" w:hint="eastAsia"/>
          <w:sz w:val="22"/>
        </w:rPr>
        <w:t>8</w:t>
      </w:r>
      <w:r w:rsidRPr="000B2F72">
        <w:rPr>
          <w:rFonts w:ascii="Times New Roman" w:hAnsi="Times New Roman"/>
          <w:sz w:val="22"/>
        </w:rPr>
        <w:t xml:space="preserve"> to describe the alert area coordinates of a CMAS message.</w:t>
      </w:r>
    </w:p>
    <w:p w14:paraId="418F258C" w14:textId="518CF927" w:rsidR="005F3A1E" w:rsidRDefault="00AD0232" w:rsidP="00736DB1">
      <w:pPr>
        <w:spacing w:beforeLines="50" w:before="156" w:afterLines="50" w:after="156"/>
        <w:rPr>
          <w:rFonts w:ascii="Times New Roman" w:hAnsi="Times New Roman"/>
          <w:sz w:val="22"/>
        </w:rPr>
      </w:pPr>
      <w:r w:rsidRPr="00AD0232">
        <w:rPr>
          <w:rFonts w:ascii="Times New Roman" w:hAnsi="Times New Roman"/>
          <w:sz w:val="22"/>
        </w:rPr>
        <w:t>Regarding the area indication</w:t>
      </w:r>
      <w:r w:rsidR="005F3A1E">
        <w:rPr>
          <w:rFonts w:ascii="Times New Roman" w:hAnsi="Times New Roman" w:hint="eastAsia"/>
          <w:sz w:val="22"/>
        </w:rPr>
        <w:t xml:space="preserve"> for ETWS in NR NTN</w:t>
      </w:r>
      <w:r w:rsidRPr="00AD0232">
        <w:rPr>
          <w:rFonts w:ascii="Times New Roman" w:hAnsi="Times New Roman"/>
          <w:sz w:val="22"/>
        </w:rPr>
        <w:t>,</w:t>
      </w:r>
      <w:r w:rsidR="005F3A1E">
        <w:rPr>
          <w:rFonts w:ascii="Times New Roman" w:hAnsi="Times New Roman" w:hint="eastAsia"/>
          <w:sz w:val="22"/>
        </w:rPr>
        <w:t xml:space="preserve"> there were discussions in RAN2#129, a straight-forward way is to reuse the </w:t>
      </w:r>
      <w:r w:rsidR="005F3A1E" w:rsidRPr="000B2F72">
        <w:rPr>
          <w:rFonts w:ascii="Times New Roman" w:hAnsi="Times New Roman"/>
          <w:sz w:val="22"/>
        </w:rPr>
        <w:t xml:space="preserve">IE </w:t>
      </w:r>
      <w:r w:rsidR="005F3A1E" w:rsidRPr="000B2F72">
        <w:rPr>
          <w:rFonts w:ascii="Times New Roman" w:hAnsi="Times New Roman"/>
          <w:i/>
          <w:iCs/>
          <w:sz w:val="22"/>
        </w:rPr>
        <w:t>warningAreaCoordinatesSegment</w:t>
      </w:r>
      <w:r w:rsidR="005F3A1E" w:rsidRPr="000B2F72">
        <w:rPr>
          <w:rFonts w:ascii="Times New Roman" w:hAnsi="Times New Roman"/>
          <w:sz w:val="22"/>
        </w:rPr>
        <w:t xml:space="preserve"> in SIB</w:t>
      </w:r>
      <w:r w:rsidR="005F3A1E">
        <w:rPr>
          <w:rFonts w:ascii="Times New Roman" w:hAnsi="Times New Roman" w:hint="eastAsia"/>
          <w:sz w:val="22"/>
        </w:rPr>
        <w:t xml:space="preserve">8 for CMAS, with its formats following </w:t>
      </w:r>
      <w:r w:rsidR="005F3A1E" w:rsidRPr="00AD0232">
        <w:rPr>
          <w:rFonts w:ascii="Times New Roman" w:hAnsi="Times New Roman"/>
          <w:sz w:val="22"/>
        </w:rPr>
        <w:t>ATIS-0700041</w:t>
      </w:r>
      <w:r w:rsidR="005F3A1E">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B7245D" w14:paraId="0C4529E0" w14:textId="77777777" w:rsidTr="00B7245D">
        <w:tc>
          <w:tcPr>
            <w:tcW w:w="9629" w:type="dxa"/>
          </w:tcPr>
          <w:p w14:paraId="6B288A02" w14:textId="77777777" w:rsidR="00B7245D" w:rsidRDefault="00B7245D" w:rsidP="000F5FD7">
            <w:pPr>
              <w:rPr>
                <w:rFonts w:ascii="Times New Roman" w:hAnsi="Times New Roman"/>
                <w:sz w:val="22"/>
              </w:rPr>
            </w:pPr>
            <w:r w:rsidRPr="00B7245D">
              <w:rPr>
                <w:rFonts w:ascii="Times New Roman" w:hAnsi="Times New Roman"/>
                <w:sz w:val="22"/>
              </w:rPr>
              <w:t>ATIS-0700041</w:t>
            </w:r>
          </w:p>
          <w:p w14:paraId="26F17513" w14:textId="77777777" w:rsidR="00B7245D" w:rsidRPr="00B7245D" w:rsidRDefault="00B7245D" w:rsidP="000F5FD7">
            <w:pPr>
              <w:rPr>
                <w:rFonts w:ascii="Times New Roman" w:hAnsi="Times New Roman"/>
                <w:b/>
                <w:bCs/>
                <w:sz w:val="22"/>
              </w:rPr>
            </w:pPr>
            <w:r w:rsidRPr="00B7245D">
              <w:rPr>
                <w:rFonts w:ascii="Times New Roman" w:hAnsi="Times New Roman"/>
                <w:b/>
                <w:bCs/>
                <w:sz w:val="22"/>
              </w:rPr>
              <w:t xml:space="preserve">5.2 Warning Area Coordinates Information Element </w:t>
            </w:r>
          </w:p>
          <w:p w14:paraId="3A8AFCC8" w14:textId="5B0BEAF0" w:rsidR="00B7245D" w:rsidRPr="00B7245D" w:rsidRDefault="00B7245D" w:rsidP="000F5FD7">
            <w:pPr>
              <w:rPr>
                <w:rFonts w:ascii="Times New Roman" w:hAnsi="Times New Roman"/>
                <w:sz w:val="22"/>
              </w:rPr>
            </w:pPr>
            <w:r w:rsidRPr="00B7245D">
              <w:rPr>
                <w:rFonts w:ascii="Times New Roman" w:hAnsi="Times New Roman"/>
                <w:sz w:val="22"/>
              </w:rPr>
              <w:t>This information element conveys the description of Warning Area Geometries specified by the Alert Originator to the mobile device to perform geo-fencing on the alert. These elements are coded as a finite bit string. In the figures, the bit string is described by octets from top downward, and in the octet from left to right. Number encoding strings start with the most significant bit.</w:t>
            </w:r>
          </w:p>
          <w:p w14:paraId="0C20A3B4" w14:textId="77777777" w:rsidR="00B7245D" w:rsidRPr="0019688A" w:rsidRDefault="00B7245D" w:rsidP="000F5FD7">
            <w:pPr>
              <w:rPr>
                <w:rFonts w:ascii="Times New Roman" w:hAnsi="Times New Roman"/>
                <w:sz w:val="22"/>
              </w:rPr>
            </w:pPr>
            <w:r w:rsidRPr="0019688A">
              <w:rPr>
                <w:rFonts w:ascii="Times New Roman" w:hAnsi="Times New Roman"/>
                <w:sz w:val="22"/>
                <w:highlight w:val="yellow"/>
              </w:rPr>
              <w:t xml:space="preserve">The total number of all circles and polygons is limited to 10. The total number of coordinates of all circles </w:t>
            </w:r>
            <w:r w:rsidRPr="0019688A">
              <w:rPr>
                <w:rFonts w:ascii="Times New Roman" w:hAnsi="Times New Roman"/>
                <w:sz w:val="22"/>
                <w:highlight w:val="yellow"/>
              </w:rPr>
              <w:lastRenderedPageBreak/>
              <w:t>and polygons is limited to 100.</w:t>
            </w:r>
          </w:p>
          <w:p w14:paraId="5DECEACC" w14:textId="77777777" w:rsidR="0019688A" w:rsidRPr="0019688A" w:rsidRDefault="0019688A" w:rsidP="000F5FD7">
            <w:pPr>
              <w:rPr>
                <w:rFonts w:ascii="Times New Roman" w:hAnsi="Times New Roman"/>
                <w:b/>
                <w:bCs/>
                <w:sz w:val="22"/>
              </w:rPr>
            </w:pPr>
            <w:r w:rsidRPr="0019688A">
              <w:rPr>
                <w:rFonts w:ascii="Times New Roman" w:hAnsi="Times New Roman"/>
                <w:b/>
                <w:bCs/>
                <w:sz w:val="22"/>
              </w:rPr>
              <w:t xml:space="preserve">5.2.1 WAC Tag-Length-Value (TLV) </w:t>
            </w:r>
          </w:p>
          <w:p w14:paraId="2B877EF7" w14:textId="18E37BD2" w:rsidR="0019688A" w:rsidRPr="0019688A" w:rsidRDefault="0019688A" w:rsidP="000F5FD7">
            <w:pPr>
              <w:rPr>
                <w:rFonts w:ascii="Times New Roman" w:hAnsi="Times New Roman"/>
                <w:sz w:val="22"/>
              </w:rPr>
            </w:pPr>
            <w:r w:rsidRPr="0019688A">
              <w:rPr>
                <w:rFonts w:ascii="Times New Roman" w:hAnsi="Times New Roman"/>
                <w:sz w:val="22"/>
              </w:rPr>
              <w:t xml:space="preserve">At the most basic level the WAC IE is made up of one or more TLVs indicating specific parameters and the values of the parameters. </w:t>
            </w:r>
          </w:p>
          <w:p w14:paraId="4A2AA110" w14:textId="77777777" w:rsidR="0019688A" w:rsidRPr="0019688A" w:rsidRDefault="0019688A" w:rsidP="000F5FD7">
            <w:pPr>
              <w:rPr>
                <w:rFonts w:ascii="Times New Roman" w:hAnsi="Times New Roman"/>
                <w:sz w:val="22"/>
              </w:rPr>
            </w:pPr>
            <w:r w:rsidRPr="0019688A">
              <w:rPr>
                <w:rFonts w:ascii="Times New Roman" w:hAnsi="Times New Roman"/>
                <w:sz w:val="22"/>
              </w:rPr>
              <w:t>Each WAC TLV is illustrated in Table 7.</w:t>
            </w:r>
          </w:p>
          <w:p w14:paraId="5DFB9758" w14:textId="77777777" w:rsidR="0019688A" w:rsidRDefault="0019688A" w:rsidP="000F5FD7">
            <w:pPr>
              <w:jc w:val="center"/>
              <w:rPr>
                <w:rFonts w:ascii="Times New Roman" w:hAnsi="Times New Roman"/>
                <w:b/>
                <w:bCs/>
                <w:sz w:val="22"/>
              </w:rPr>
            </w:pPr>
            <w:r w:rsidRPr="0019688A">
              <w:rPr>
                <w:rFonts w:ascii="Times New Roman" w:hAnsi="Times New Roman"/>
                <w:b/>
                <w:bCs/>
                <w:noProof/>
                <w:sz w:val="22"/>
              </w:rPr>
              <w:drawing>
                <wp:inline distT="0" distB="0" distL="0" distR="0" wp14:anchorId="5F388BE1" wp14:editId="77A0684B">
                  <wp:extent cx="5086350" cy="1204176"/>
                  <wp:effectExtent l="0" t="0" r="0" b="0"/>
                  <wp:docPr id="7918888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05606" cy="1208735"/>
                          </a:xfrm>
                          <a:prstGeom prst="rect">
                            <a:avLst/>
                          </a:prstGeom>
                          <a:noFill/>
                          <a:ln>
                            <a:noFill/>
                          </a:ln>
                        </pic:spPr>
                      </pic:pic>
                    </a:graphicData>
                  </a:graphic>
                </wp:inline>
              </w:drawing>
            </w:r>
          </w:p>
          <w:p w14:paraId="1A2C73C0" w14:textId="77777777" w:rsidR="0019688A" w:rsidRPr="0019688A" w:rsidRDefault="0019688A" w:rsidP="000F5FD7">
            <w:pPr>
              <w:rPr>
                <w:rFonts w:ascii="Times New Roman" w:hAnsi="Times New Roman"/>
                <w:sz w:val="22"/>
              </w:rPr>
            </w:pPr>
            <w:r w:rsidRPr="0019688A">
              <w:rPr>
                <w:rFonts w:ascii="Times New Roman" w:hAnsi="Times New Roman"/>
                <w:b/>
                <w:bCs/>
                <w:sz w:val="22"/>
              </w:rPr>
              <w:t>Tag (4 bits)</w:t>
            </w:r>
            <w:r w:rsidRPr="0019688A">
              <w:rPr>
                <w:rFonts w:ascii="Times New Roman" w:hAnsi="Times New Roman"/>
                <w:sz w:val="22"/>
              </w:rPr>
              <w:t xml:space="preserve">: Indicates the type of parameter </w:t>
            </w:r>
          </w:p>
          <w:p w14:paraId="36614326" w14:textId="77777777" w:rsidR="0019688A" w:rsidRPr="0019688A" w:rsidRDefault="0019688A" w:rsidP="000F5FD7">
            <w:pPr>
              <w:rPr>
                <w:rFonts w:ascii="Times New Roman" w:hAnsi="Times New Roman"/>
                <w:sz w:val="22"/>
              </w:rPr>
            </w:pPr>
            <w:r w:rsidRPr="0019688A">
              <w:rPr>
                <w:rFonts w:ascii="Times New Roman" w:hAnsi="Times New Roman"/>
                <w:b/>
                <w:bCs/>
                <w:sz w:val="22"/>
              </w:rPr>
              <w:t>Length (10 bits)</w:t>
            </w:r>
            <w:r w:rsidRPr="0019688A">
              <w:rPr>
                <w:rFonts w:ascii="Times New Roman" w:hAnsi="Times New Roman"/>
                <w:sz w:val="22"/>
              </w:rPr>
              <w:t xml:space="preserve">: Indicates the length of the entire WAC TLV in octets </w:t>
            </w:r>
          </w:p>
          <w:p w14:paraId="4C59DDB3" w14:textId="77777777" w:rsidR="0019688A" w:rsidRPr="0019688A" w:rsidRDefault="0019688A" w:rsidP="000F5FD7">
            <w:pPr>
              <w:rPr>
                <w:rFonts w:ascii="Times New Roman" w:hAnsi="Times New Roman"/>
                <w:sz w:val="22"/>
              </w:rPr>
            </w:pPr>
            <w:r w:rsidRPr="0019688A">
              <w:rPr>
                <w:rFonts w:ascii="Times New Roman" w:hAnsi="Times New Roman"/>
                <w:b/>
                <w:bCs/>
                <w:sz w:val="22"/>
              </w:rPr>
              <w:t>Reserved (2 bits)</w:t>
            </w:r>
            <w:r w:rsidRPr="0019688A">
              <w:rPr>
                <w:rFonts w:ascii="Times New Roman" w:hAnsi="Times New Roman"/>
                <w:sz w:val="22"/>
              </w:rPr>
              <w:t xml:space="preserve">: Shall be set to 0 by the network and ignored by the device </w:t>
            </w:r>
          </w:p>
          <w:p w14:paraId="58198F59" w14:textId="77777777" w:rsidR="0019688A" w:rsidRDefault="0019688A" w:rsidP="000F5FD7">
            <w:pPr>
              <w:rPr>
                <w:rFonts w:ascii="Times New Roman" w:hAnsi="Times New Roman"/>
                <w:sz w:val="22"/>
              </w:rPr>
            </w:pPr>
            <w:r w:rsidRPr="0019688A">
              <w:rPr>
                <w:rFonts w:ascii="Times New Roman" w:hAnsi="Times New Roman"/>
                <w:b/>
                <w:bCs/>
                <w:sz w:val="22"/>
              </w:rPr>
              <w:t>Value (variable number of octets, up to 1022)</w:t>
            </w:r>
            <w:r w:rsidRPr="0019688A">
              <w:rPr>
                <w:rFonts w:ascii="Times New Roman" w:hAnsi="Times New Roman"/>
                <w:sz w:val="22"/>
              </w:rPr>
              <w:t>: The value of the parameter</w:t>
            </w:r>
          </w:p>
          <w:p w14:paraId="59A0B694" w14:textId="77777777" w:rsidR="0019688A" w:rsidRPr="0019688A" w:rsidRDefault="0019688A" w:rsidP="000F5FD7">
            <w:pPr>
              <w:rPr>
                <w:rFonts w:ascii="Times New Roman" w:hAnsi="Times New Roman"/>
                <w:b/>
                <w:bCs/>
                <w:sz w:val="22"/>
              </w:rPr>
            </w:pPr>
            <w:r w:rsidRPr="0019688A">
              <w:rPr>
                <w:rFonts w:ascii="Times New Roman" w:hAnsi="Times New Roman"/>
                <w:b/>
                <w:bCs/>
                <w:sz w:val="22"/>
              </w:rPr>
              <w:t xml:space="preserve">5.2.2 WAC TLV characteristics </w:t>
            </w:r>
          </w:p>
          <w:p w14:paraId="0589326C" w14:textId="77777777" w:rsidR="0019688A" w:rsidRPr="0019688A" w:rsidRDefault="0019688A" w:rsidP="000F5FD7">
            <w:pPr>
              <w:rPr>
                <w:rFonts w:ascii="Times New Roman" w:hAnsi="Times New Roman"/>
                <w:sz w:val="22"/>
              </w:rPr>
            </w:pPr>
            <w:r w:rsidRPr="0019688A">
              <w:rPr>
                <w:rFonts w:ascii="Times New Roman" w:hAnsi="Times New Roman"/>
                <w:sz w:val="22"/>
              </w:rPr>
              <w:t xml:space="preserve">The following attributes apply to the WAC TLV in the WAC IE: </w:t>
            </w:r>
          </w:p>
          <w:p w14:paraId="7B6006DD" w14:textId="77777777" w:rsidR="0019688A" w:rsidRPr="0019688A" w:rsidRDefault="0019688A" w:rsidP="000F5FD7">
            <w:pPr>
              <w:rPr>
                <w:rFonts w:ascii="Times New Roman" w:hAnsi="Times New Roman"/>
                <w:sz w:val="22"/>
              </w:rPr>
            </w:pPr>
            <w:r w:rsidRPr="0019688A">
              <w:rPr>
                <w:rFonts w:ascii="Times New Roman" w:hAnsi="Times New Roman" w:hint="eastAsia"/>
                <w:sz w:val="22"/>
              </w:rPr>
              <w:t>•</w:t>
            </w:r>
            <w:r w:rsidRPr="0019688A">
              <w:rPr>
                <w:rFonts w:ascii="Times New Roman" w:hAnsi="Times New Roman"/>
                <w:sz w:val="22"/>
              </w:rPr>
              <w:t xml:space="preserve"> WAC may contain multiple TLVs </w:t>
            </w:r>
          </w:p>
          <w:p w14:paraId="2DF43DE1" w14:textId="77777777" w:rsidR="0019688A" w:rsidRPr="0019688A" w:rsidRDefault="0019688A" w:rsidP="000F5FD7">
            <w:pPr>
              <w:rPr>
                <w:rFonts w:ascii="Times New Roman" w:hAnsi="Times New Roman"/>
                <w:sz w:val="22"/>
              </w:rPr>
            </w:pPr>
            <w:r w:rsidRPr="0019688A">
              <w:rPr>
                <w:rFonts w:ascii="Times New Roman" w:hAnsi="Times New Roman" w:hint="eastAsia"/>
                <w:sz w:val="22"/>
              </w:rPr>
              <w:t>•</w:t>
            </w:r>
            <w:r w:rsidRPr="0019688A">
              <w:rPr>
                <w:rFonts w:ascii="Times New Roman" w:hAnsi="Times New Roman"/>
                <w:sz w:val="22"/>
              </w:rPr>
              <w:t xml:space="preserve"> There may be more than one WAC TLV with the same tag unless otherwise specified </w:t>
            </w:r>
          </w:p>
          <w:p w14:paraId="0DF6A24E" w14:textId="77777777" w:rsidR="0019688A" w:rsidRPr="0019688A" w:rsidRDefault="0019688A" w:rsidP="000F5FD7">
            <w:pPr>
              <w:rPr>
                <w:rFonts w:ascii="Times New Roman" w:hAnsi="Times New Roman"/>
                <w:sz w:val="22"/>
              </w:rPr>
            </w:pPr>
            <w:r w:rsidRPr="0019688A">
              <w:rPr>
                <w:rFonts w:ascii="Times New Roman" w:hAnsi="Times New Roman" w:hint="eastAsia"/>
                <w:sz w:val="22"/>
              </w:rPr>
              <w:t>•</w:t>
            </w:r>
            <w:r w:rsidRPr="0019688A">
              <w:rPr>
                <w:rFonts w:ascii="Times New Roman" w:hAnsi="Times New Roman"/>
                <w:sz w:val="22"/>
              </w:rPr>
              <w:t xml:space="preserve"> There is no ordering significance to WAC TLVs in a WAC IE </w:t>
            </w:r>
          </w:p>
          <w:p w14:paraId="49BD3B57" w14:textId="77777777" w:rsidR="0019688A" w:rsidRPr="0019688A" w:rsidRDefault="0019688A" w:rsidP="000F5FD7">
            <w:pPr>
              <w:rPr>
                <w:rFonts w:ascii="Times New Roman" w:hAnsi="Times New Roman"/>
                <w:sz w:val="22"/>
              </w:rPr>
            </w:pPr>
            <w:r w:rsidRPr="0019688A">
              <w:rPr>
                <w:rFonts w:ascii="Times New Roman" w:hAnsi="Times New Roman" w:hint="eastAsia"/>
                <w:sz w:val="22"/>
              </w:rPr>
              <w:t>•</w:t>
            </w:r>
            <w:r w:rsidRPr="0019688A">
              <w:rPr>
                <w:rFonts w:ascii="Times New Roman" w:hAnsi="Times New Roman"/>
                <w:sz w:val="22"/>
              </w:rPr>
              <w:t xml:space="preserve"> If a WAC tag is not recognized by a device the WAC TLV shall be ignored </w:t>
            </w:r>
          </w:p>
          <w:p w14:paraId="6928FECB" w14:textId="20EA4C77" w:rsidR="0019688A" w:rsidRPr="0019688A" w:rsidRDefault="0019688A" w:rsidP="000F5FD7">
            <w:pPr>
              <w:rPr>
                <w:rFonts w:ascii="Times New Roman" w:hAnsi="Times New Roman"/>
                <w:sz w:val="22"/>
              </w:rPr>
            </w:pPr>
            <w:r w:rsidRPr="0019688A">
              <w:rPr>
                <w:rFonts w:ascii="Times New Roman" w:hAnsi="Times New Roman" w:hint="eastAsia"/>
                <w:sz w:val="22"/>
              </w:rPr>
              <w:t>•</w:t>
            </w:r>
            <w:r w:rsidRPr="0019688A">
              <w:rPr>
                <w:rFonts w:ascii="Times New Roman" w:hAnsi="Times New Roman"/>
                <w:sz w:val="22"/>
              </w:rPr>
              <w:t xml:space="preserve"> WAC TLVs shall be padded with binary 0s to octet boundaries </w:t>
            </w:r>
          </w:p>
          <w:p w14:paraId="78E88BB9" w14:textId="6403A77E" w:rsidR="0019688A" w:rsidRPr="0019688A" w:rsidRDefault="0019688A" w:rsidP="000F5FD7">
            <w:pPr>
              <w:rPr>
                <w:rFonts w:ascii="Times New Roman" w:hAnsi="Times New Roman"/>
                <w:sz w:val="22"/>
              </w:rPr>
            </w:pPr>
            <w:r>
              <w:rPr>
                <w:rFonts w:ascii="Times New Roman" w:hAnsi="Times New Roman"/>
                <w:sz w:val="22"/>
              </w:rPr>
              <w:t>…</w:t>
            </w:r>
          </w:p>
        </w:tc>
      </w:tr>
    </w:tbl>
    <w:p w14:paraId="7E05D2B3" w14:textId="572CE0CC" w:rsidR="004D2A48" w:rsidRDefault="004D2A48" w:rsidP="004D2A48">
      <w:pPr>
        <w:spacing w:beforeLines="50" w:before="156" w:afterLines="50" w:after="156"/>
        <w:rPr>
          <w:rFonts w:ascii="Times New Roman" w:hAnsi="Times New Roman"/>
          <w:sz w:val="22"/>
        </w:rPr>
      </w:pPr>
      <w:r>
        <w:rPr>
          <w:rFonts w:ascii="Times New Roman" w:hAnsi="Times New Roman" w:hint="eastAsia"/>
          <w:sz w:val="22"/>
        </w:rPr>
        <w:lastRenderedPageBreak/>
        <w:t xml:space="preserve">By reviewing the </w:t>
      </w:r>
      <w:r w:rsidRPr="004D2A48">
        <w:rPr>
          <w:rFonts w:ascii="Times New Roman" w:hAnsi="Times New Roman"/>
          <w:sz w:val="22"/>
        </w:rPr>
        <w:t>ATIS-0700041</w:t>
      </w:r>
      <w:r>
        <w:rPr>
          <w:rFonts w:ascii="Times New Roman" w:hAnsi="Times New Roman" w:hint="eastAsia"/>
          <w:sz w:val="22"/>
        </w:rPr>
        <w:t>, the following observations are given:</w:t>
      </w:r>
    </w:p>
    <w:p w14:paraId="73F78814" w14:textId="368A9869" w:rsidR="004D2A48" w:rsidRPr="000F5FD7" w:rsidRDefault="004D2A48" w:rsidP="004D2A48">
      <w:pPr>
        <w:spacing w:beforeLines="50" w:before="156" w:afterLines="50" w:after="156"/>
        <w:rPr>
          <w:rFonts w:ascii="Times New Roman" w:hAnsi="Times New Roman"/>
          <w:b/>
          <w:bCs/>
          <w:sz w:val="22"/>
        </w:rPr>
      </w:pPr>
      <w:r w:rsidRPr="000F5FD7">
        <w:rPr>
          <w:rFonts w:ascii="Times New Roman" w:hAnsi="Times New Roman"/>
          <w:b/>
          <w:bCs/>
          <w:sz w:val="22"/>
        </w:rPr>
        <w:t xml:space="preserve">Observation 1: The IE </w:t>
      </w:r>
      <w:r w:rsidRPr="000F5FD7">
        <w:rPr>
          <w:rFonts w:ascii="Times New Roman" w:hAnsi="Times New Roman"/>
          <w:b/>
          <w:bCs/>
          <w:i/>
          <w:iCs/>
          <w:sz w:val="22"/>
        </w:rPr>
        <w:t>warningAreaCoordinatesSegment</w:t>
      </w:r>
      <w:r w:rsidRPr="000F5FD7">
        <w:rPr>
          <w:rFonts w:ascii="Times New Roman" w:hAnsi="Times New Roman"/>
          <w:b/>
          <w:bCs/>
          <w:sz w:val="22"/>
        </w:rPr>
        <w:t xml:space="preserve"> for CMAS can describe circles and polygons.</w:t>
      </w:r>
    </w:p>
    <w:p w14:paraId="7A2C5C3A" w14:textId="77777777" w:rsidR="004D2A48" w:rsidRPr="000F5FD7" w:rsidRDefault="004D2A48" w:rsidP="004D2A48">
      <w:pPr>
        <w:spacing w:beforeLines="50" w:before="156" w:afterLines="50" w:after="156"/>
        <w:rPr>
          <w:rFonts w:ascii="Times New Roman" w:hAnsi="Times New Roman"/>
          <w:b/>
          <w:bCs/>
          <w:sz w:val="22"/>
        </w:rPr>
      </w:pPr>
      <w:r w:rsidRPr="000F5FD7">
        <w:rPr>
          <w:rFonts w:ascii="Times New Roman" w:hAnsi="Times New Roman"/>
          <w:b/>
          <w:bCs/>
          <w:sz w:val="22"/>
        </w:rPr>
        <w:t xml:space="preserve">Observation 2: The IE </w:t>
      </w:r>
      <w:r w:rsidRPr="000F5FD7">
        <w:rPr>
          <w:rFonts w:ascii="Times New Roman" w:hAnsi="Times New Roman"/>
          <w:b/>
          <w:bCs/>
          <w:i/>
          <w:iCs/>
          <w:sz w:val="22"/>
        </w:rPr>
        <w:t>warningAreaCoordinatesSegment</w:t>
      </w:r>
      <w:r w:rsidRPr="000F5FD7">
        <w:rPr>
          <w:rFonts w:ascii="Times New Roman" w:hAnsi="Times New Roman"/>
          <w:b/>
          <w:bCs/>
          <w:sz w:val="22"/>
        </w:rPr>
        <w:t xml:space="preserve"> has a total number limit 10 for all circles and polygons, and a total number limit 100 for coordinates of all circles and polygons.</w:t>
      </w:r>
    </w:p>
    <w:p w14:paraId="12DB0BBE" w14:textId="77777777" w:rsidR="004D2A48" w:rsidRPr="000F5FD7" w:rsidRDefault="004D2A48" w:rsidP="004D2A48">
      <w:pPr>
        <w:spacing w:beforeLines="50" w:before="156" w:afterLines="50" w:after="156"/>
        <w:rPr>
          <w:rFonts w:ascii="Times New Roman" w:hAnsi="Times New Roman"/>
          <w:b/>
          <w:bCs/>
          <w:sz w:val="22"/>
        </w:rPr>
      </w:pPr>
      <w:r w:rsidRPr="000F5FD7">
        <w:rPr>
          <w:rFonts w:ascii="Times New Roman" w:hAnsi="Times New Roman"/>
          <w:b/>
          <w:bCs/>
          <w:sz w:val="22"/>
        </w:rPr>
        <w:t xml:space="preserve">Observation 3: When describing circles, in the IE </w:t>
      </w:r>
      <w:r w:rsidRPr="000F5FD7">
        <w:rPr>
          <w:rFonts w:ascii="Times New Roman" w:hAnsi="Times New Roman"/>
          <w:b/>
          <w:bCs/>
          <w:i/>
          <w:iCs/>
          <w:sz w:val="22"/>
        </w:rPr>
        <w:t>warningAreaCoordinatesSegment</w:t>
      </w:r>
      <w:r w:rsidRPr="000F5FD7">
        <w:rPr>
          <w:rFonts w:ascii="Times New Roman" w:hAnsi="Times New Roman"/>
          <w:b/>
          <w:bCs/>
          <w:sz w:val="22"/>
        </w:rPr>
        <w:t xml:space="preserve"> the granularity of radius is 1km and the value range is 64km.</w:t>
      </w:r>
    </w:p>
    <w:p w14:paraId="226EB8AE" w14:textId="3F623037" w:rsidR="004D2A48" w:rsidRPr="004D2A48" w:rsidRDefault="004D2A48" w:rsidP="004D2A48">
      <w:pPr>
        <w:spacing w:beforeLines="50" w:before="156" w:afterLines="50" w:after="156"/>
        <w:rPr>
          <w:rFonts w:ascii="Times New Roman" w:hAnsi="Times New Roman"/>
          <w:sz w:val="22"/>
        </w:rPr>
      </w:pPr>
      <w:r>
        <w:rPr>
          <w:rFonts w:ascii="Times New Roman" w:hAnsi="Times New Roman" w:hint="eastAsia"/>
          <w:sz w:val="22"/>
        </w:rPr>
        <w:t xml:space="preserve">Meanwhile for comparation, </w:t>
      </w:r>
      <w:r w:rsidRPr="004D2A48">
        <w:rPr>
          <w:rFonts w:ascii="Times New Roman" w:hAnsi="Times New Roman"/>
          <w:sz w:val="22"/>
        </w:rPr>
        <w:t xml:space="preserve">the granularity of </w:t>
      </w:r>
      <w:r w:rsidRPr="004D2A48">
        <w:rPr>
          <w:rFonts w:ascii="Times New Roman" w:hAnsi="Times New Roman"/>
          <w:i/>
          <w:iCs/>
          <w:sz w:val="22"/>
        </w:rPr>
        <w:t>radius</w:t>
      </w:r>
      <w:r w:rsidRPr="004D2A48">
        <w:rPr>
          <w:rFonts w:ascii="Times New Roman" w:hAnsi="Times New Roman"/>
          <w:sz w:val="22"/>
        </w:rPr>
        <w:t xml:space="preserve"> </w:t>
      </w:r>
      <w:r>
        <w:rPr>
          <w:rFonts w:ascii="Times New Roman" w:hAnsi="Times New Roman" w:hint="eastAsia"/>
          <w:sz w:val="22"/>
        </w:rPr>
        <w:t>introduced in NR NTN</w:t>
      </w:r>
      <w:r w:rsidRPr="004D2A48">
        <w:rPr>
          <w:rFonts w:ascii="Times New Roman" w:hAnsi="Times New Roman"/>
          <w:sz w:val="22"/>
        </w:rPr>
        <w:t xml:space="preserve"> is </w:t>
      </w:r>
      <w:r>
        <w:rPr>
          <w:rFonts w:ascii="Times New Roman" w:hAnsi="Times New Roman" w:hint="eastAsia"/>
          <w:sz w:val="22"/>
        </w:rPr>
        <w:t>10</w:t>
      </w:r>
      <w:r w:rsidRPr="004D2A48">
        <w:rPr>
          <w:rFonts w:ascii="Times New Roman" w:hAnsi="Times New Roman"/>
          <w:sz w:val="22"/>
        </w:rPr>
        <w:t xml:space="preserve">km and the value range is </w:t>
      </w:r>
      <w:r>
        <w:rPr>
          <w:rFonts w:ascii="Times New Roman" w:hAnsi="Times New Roman" w:hint="eastAsia"/>
          <w:sz w:val="22"/>
        </w:rPr>
        <w:t>2560</w:t>
      </w:r>
      <w:r w:rsidRPr="004D2A48">
        <w:rPr>
          <w:rFonts w:ascii="Times New Roman" w:hAnsi="Times New Roman"/>
          <w:sz w:val="22"/>
        </w:rPr>
        <w:t>km.</w:t>
      </w:r>
    </w:p>
    <w:p w14:paraId="6C99AD58" w14:textId="333097B6" w:rsidR="005F3A1E" w:rsidRPr="004D2A48" w:rsidRDefault="004D2A48" w:rsidP="004D2A48">
      <w:pPr>
        <w:spacing w:beforeLines="50" w:before="156" w:afterLines="50" w:after="156"/>
        <w:rPr>
          <w:rFonts w:ascii="Times New Roman" w:hAnsi="Times New Roman"/>
          <w:b/>
          <w:bCs/>
          <w:sz w:val="22"/>
        </w:rPr>
      </w:pPr>
      <w:r w:rsidRPr="004D2A48">
        <w:rPr>
          <w:rFonts w:ascii="Times New Roman" w:hAnsi="Times New Roman"/>
          <w:b/>
          <w:bCs/>
          <w:sz w:val="22"/>
        </w:rPr>
        <w:t xml:space="preserve">Proposal 1: For ETWS broadcast service area indication, RAN2 can discuss whether </w:t>
      </w:r>
      <w:r w:rsidRPr="004D2A48">
        <w:rPr>
          <w:rFonts w:ascii="Times New Roman" w:hAnsi="Times New Roman" w:hint="eastAsia"/>
          <w:b/>
          <w:bCs/>
          <w:sz w:val="22"/>
        </w:rPr>
        <w:t xml:space="preserve">the format of </w:t>
      </w:r>
      <w:r w:rsidRPr="004D2A48">
        <w:rPr>
          <w:rFonts w:ascii="Times New Roman" w:hAnsi="Times New Roman"/>
          <w:b/>
          <w:bCs/>
          <w:i/>
          <w:iCs/>
          <w:sz w:val="22"/>
        </w:rPr>
        <w:t>warningAreaCoordinatesSegment</w:t>
      </w:r>
      <w:r w:rsidRPr="004D2A48">
        <w:rPr>
          <w:rFonts w:ascii="Times New Roman" w:hAnsi="Times New Roman"/>
          <w:b/>
          <w:bCs/>
          <w:sz w:val="22"/>
        </w:rPr>
        <w:t xml:space="preserve"> for CMAS is sufficient for NTN deployment.</w:t>
      </w:r>
    </w:p>
    <w:p w14:paraId="11210B5E" w14:textId="64C1B0EA" w:rsidR="000F5FD7" w:rsidRDefault="000F5FD7" w:rsidP="00736DB1">
      <w:pPr>
        <w:spacing w:beforeLines="50" w:before="156" w:afterLines="50" w:after="156"/>
        <w:rPr>
          <w:rFonts w:ascii="Times New Roman" w:hAnsi="Times New Roman"/>
          <w:sz w:val="22"/>
        </w:rPr>
      </w:pPr>
      <w:r>
        <w:rPr>
          <w:rFonts w:ascii="Times New Roman" w:hAnsi="Times New Roman" w:hint="eastAsia"/>
          <w:sz w:val="22"/>
        </w:rPr>
        <w:t xml:space="preserve">Based on the </w:t>
      </w:r>
      <w:r w:rsidRPr="004D2A48">
        <w:rPr>
          <w:rFonts w:ascii="Times New Roman" w:hAnsi="Times New Roman"/>
          <w:sz w:val="22"/>
        </w:rPr>
        <w:t>ATIS-0700041</w:t>
      </w:r>
      <w:r>
        <w:rPr>
          <w:rFonts w:ascii="Times New Roman" w:hAnsi="Times New Roman" w:hint="eastAsia"/>
          <w:sz w:val="22"/>
        </w:rPr>
        <w:t xml:space="preserve">, it is further observed that in addition to circles and polygons, </w:t>
      </w:r>
      <w:r w:rsidRPr="000F5FD7">
        <w:rPr>
          <w:rFonts w:ascii="Times New Roman" w:hAnsi="Times New Roman"/>
          <w:i/>
          <w:iCs/>
          <w:sz w:val="22"/>
        </w:rPr>
        <w:t>warningAreaCoordinatesSegment</w:t>
      </w:r>
      <w:r>
        <w:rPr>
          <w:rFonts w:ascii="Times New Roman" w:hAnsi="Times New Roman" w:hint="eastAsia"/>
          <w:sz w:val="22"/>
        </w:rPr>
        <w:t xml:space="preserve"> can also be</w:t>
      </w:r>
      <w:r w:rsidRPr="000F5FD7">
        <w:rPr>
          <w:rFonts w:ascii="Times New Roman" w:hAnsi="Times New Roman"/>
          <w:sz w:val="22"/>
        </w:rPr>
        <w:t xml:space="preserve"> used to indicate the Geo-Fencing Maximum Wait Time (when the tag bits are set to 0001)</w:t>
      </w:r>
      <w:r>
        <w:rPr>
          <w:rFonts w:ascii="Times New Roman" w:hAnsi="Times New Roman" w:hint="eastAsia"/>
          <w:sz w:val="22"/>
        </w:rPr>
        <w:t>:</w:t>
      </w:r>
    </w:p>
    <w:tbl>
      <w:tblPr>
        <w:tblStyle w:val="af1"/>
        <w:tblW w:w="0" w:type="auto"/>
        <w:tblLook w:val="04A0" w:firstRow="1" w:lastRow="0" w:firstColumn="1" w:lastColumn="0" w:noHBand="0" w:noVBand="1"/>
      </w:tblPr>
      <w:tblGrid>
        <w:gridCol w:w="9629"/>
      </w:tblGrid>
      <w:tr w:rsidR="000F5FD7" w14:paraId="16318A9D" w14:textId="77777777" w:rsidTr="000F5FD7">
        <w:tc>
          <w:tcPr>
            <w:tcW w:w="9629" w:type="dxa"/>
          </w:tcPr>
          <w:p w14:paraId="2CA9DC49" w14:textId="77777777" w:rsidR="00E433B8" w:rsidRDefault="00E433B8" w:rsidP="000F5FD7">
            <w:pPr>
              <w:rPr>
                <w:rFonts w:ascii="Times New Roman" w:hAnsi="Times New Roman"/>
                <w:sz w:val="22"/>
              </w:rPr>
            </w:pPr>
            <w:r w:rsidRPr="004D2A48">
              <w:rPr>
                <w:rFonts w:ascii="Times New Roman" w:hAnsi="Times New Roman"/>
                <w:sz w:val="22"/>
              </w:rPr>
              <w:t>ATIS-0700041</w:t>
            </w:r>
          </w:p>
          <w:p w14:paraId="15CFCCC1" w14:textId="17DD7FC1" w:rsidR="00E433B8" w:rsidRDefault="00E433B8" w:rsidP="000F5FD7">
            <w:pPr>
              <w:rPr>
                <w:rFonts w:ascii="Times New Roman" w:hAnsi="Times New Roman"/>
                <w:sz w:val="22"/>
              </w:rPr>
            </w:pPr>
            <w:r>
              <w:rPr>
                <w:rFonts w:ascii="Times New Roman" w:hAnsi="Times New Roman"/>
                <w:sz w:val="22"/>
              </w:rPr>
              <w:t>…</w:t>
            </w:r>
          </w:p>
          <w:p w14:paraId="06D8C6FE" w14:textId="775C5806" w:rsidR="000F5FD7" w:rsidRPr="0019688A" w:rsidRDefault="000F5FD7" w:rsidP="000F5FD7">
            <w:pPr>
              <w:rPr>
                <w:rFonts w:ascii="Times New Roman" w:hAnsi="Times New Roman"/>
                <w:b/>
                <w:bCs/>
                <w:sz w:val="22"/>
              </w:rPr>
            </w:pPr>
            <w:r w:rsidRPr="0019688A">
              <w:rPr>
                <w:rFonts w:ascii="Times New Roman" w:hAnsi="Times New Roman"/>
                <w:b/>
                <w:bCs/>
                <w:sz w:val="22"/>
              </w:rPr>
              <w:t xml:space="preserve">5.2.3 WAC tag coding </w:t>
            </w:r>
          </w:p>
          <w:p w14:paraId="4556AE14" w14:textId="77777777" w:rsidR="000F5FD7" w:rsidRDefault="000F5FD7" w:rsidP="000F5FD7">
            <w:pPr>
              <w:rPr>
                <w:rFonts w:ascii="Times New Roman" w:hAnsi="Times New Roman"/>
                <w:sz w:val="22"/>
              </w:rPr>
            </w:pPr>
            <w:r w:rsidRPr="0019688A">
              <w:rPr>
                <w:rFonts w:ascii="Times New Roman" w:hAnsi="Times New Roman"/>
                <w:sz w:val="22"/>
              </w:rPr>
              <w:t>Table 8 identifies the WAC TLV tags defined for WEA.</w:t>
            </w:r>
          </w:p>
          <w:p w14:paraId="6E14B556" w14:textId="77777777" w:rsidR="000F5FD7" w:rsidRDefault="000F5FD7" w:rsidP="000F5FD7">
            <w:pPr>
              <w:jc w:val="center"/>
              <w:rPr>
                <w:rFonts w:ascii="Times New Roman" w:hAnsi="Times New Roman"/>
                <w:sz w:val="22"/>
              </w:rPr>
            </w:pPr>
            <w:r w:rsidRPr="0019688A">
              <w:rPr>
                <w:rFonts w:ascii="Times New Roman" w:hAnsi="Times New Roman"/>
                <w:noProof/>
                <w:sz w:val="22"/>
              </w:rPr>
              <w:lastRenderedPageBreak/>
              <w:drawing>
                <wp:inline distT="0" distB="0" distL="0" distR="0" wp14:anchorId="0AE697FC" wp14:editId="423147E8">
                  <wp:extent cx="2219325" cy="1495289"/>
                  <wp:effectExtent l="0" t="0" r="0" b="0"/>
                  <wp:docPr id="20911206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24333" cy="1498663"/>
                          </a:xfrm>
                          <a:prstGeom prst="rect">
                            <a:avLst/>
                          </a:prstGeom>
                          <a:noFill/>
                          <a:ln>
                            <a:noFill/>
                          </a:ln>
                        </pic:spPr>
                      </pic:pic>
                    </a:graphicData>
                  </a:graphic>
                </wp:inline>
              </w:drawing>
            </w:r>
          </w:p>
          <w:p w14:paraId="5038684D" w14:textId="77777777" w:rsidR="000F5FD7" w:rsidRDefault="000F5FD7" w:rsidP="000F5FD7">
            <w:pPr>
              <w:rPr>
                <w:rFonts w:ascii="Times New Roman" w:hAnsi="Times New Roman"/>
                <w:sz w:val="22"/>
              </w:rPr>
            </w:pPr>
            <w:r>
              <w:rPr>
                <w:rFonts w:ascii="Times New Roman" w:hAnsi="Times New Roman"/>
                <w:sz w:val="22"/>
              </w:rPr>
              <w:t>…</w:t>
            </w:r>
          </w:p>
          <w:p w14:paraId="0259969E" w14:textId="77777777" w:rsidR="000F5FD7" w:rsidRPr="000F5FD7" w:rsidRDefault="000F5FD7" w:rsidP="000F5FD7">
            <w:pPr>
              <w:rPr>
                <w:rFonts w:ascii="Times New Roman" w:hAnsi="Times New Roman"/>
                <w:sz w:val="22"/>
              </w:rPr>
            </w:pPr>
            <w:r w:rsidRPr="000F5FD7">
              <w:rPr>
                <w:rFonts w:ascii="Times New Roman" w:hAnsi="Times New Roman"/>
                <w:sz w:val="22"/>
              </w:rPr>
              <w:t xml:space="preserve">5.2.8 WAC Geo-Fencing Maximum Wait Time </w:t>
            </w:r>
          </w:p>
          <w:p w14:paraId="10BBD8DB" w14:textId="4CBA6481" w:rsidR="000F5FD7" w:rsidRPr="000F5FD7" w:rsidRDefault="000F5FD7" w:rsidP="000F5FD7">
            <w:pPr>
              <w:rPr>
                <w:rFonts w:ascii="Times New Roman" w:hAnsi="Times New Roman"/>
                <w:sz w:val="22"/>
              </w:rPr>
            </w:pPr>
            <w:r w:rsidRPr="000F5FD7">
              <w:rPr>
                <w:rFonts w:ascii="Times New Roman" w:hAnsi="Times New Roman"/>
                <w:sz w:val="22"/>
              </w:rPr>
              <w:t xml:space="preserve">This WAC TLV describes the </w:t>
            </w:r>
            <w:r w:rsidRPr="0035116C">
              <w:rPr>
                <w:rFonts w:ascii="Times New Roman" w:hAnsi="Times New Roman"/>
                <w:b/>
                <w:bCs/>
                <w:sz w:val="22"/>
                <w:highlight w:val="yellow"/>
              </w:rPr>
              <w:t>Geo-Fencing Maximum Wait Time a device shall allow to determine its position meeting operator policy. If the device is unable to determine its position meeting operator policy within the Geo</w:t>
            </w:r>
            <w:r w:rsidRPr="0035116C">
              <w:rPr>
                <w:rFonts w:ascii="Times New Roman" w:hAnsi="Times New Roman" w:hint="eastAsia"/>
                <w:b/>
                <w:bCs/>
                <w:sz w:val="22"/>
                <w:highlight w:val="yellow"/>
              </w:rPr>
              <w:t>-</w:t>
            </w:r>
            <w:r w:rsidRPr="0035116C">
              <w:rPr>
                <w:rFonts w:ascii="Times New Roman" w:hAnsi="Times New Roman"/>
                <w:b/>
                <w:bCs/>
                <w:sz w:val="22"/>
                <w:highlight w:val="yellow"/>
              </w:rPr>
              <w:t>Fencing Maximum Wait Time, it shall present the alert to the user and discontinue further positioning determination for the alert.</w:t>
            </w:r>
            <w:r w:rsidRPr="000F5FD7">
              <w:rPr>
                <w:rFonts w:ascii="Times New Roman" w:hAnsi="Times New Roman"/>
                <w:sz w:val="22"/>
              </w:rPr>
              <w:t xml:space="preserve"> </w:t>
            </w:r>
          </w:p>
          <w:p w14:paraId="7B6778DD" w14:textId="77777777" w:rsidR="000F5FD7" w:rsidRDefault="000F5FD7" w:rsidP="000F5FD7">
            <w:pPr>
              <w:rPr>
                <w:rFonts w:ascii="Times New Roman" w:hAnsi="Times New Roman"/>
                <w:sz w:val="22"/>
              </w:rPr>
            </w:pPr>
            <w:r w:rsidRPr="000F5FD7">
              <w:rPr>
                <w:rFonts w:ascii="Times New Roman" w:hAnsi="Times New Roman"/>
                <w:sz w:val="22"/>
              </w:rPr>
              <w:t>This WAC TLV is optional and when included shall only occur once in a WAC IE. If it is not included, the device shall assume the Geo-Fencing Maximum Wait Time value 255 described in Table 12.</w:t>
            </w:r>
          </w:p>
          <w:p w14:paraId="001D3B3C" w14:textId="77777777" w:rsidR="000F5FD7" w:rsidRDefault="000F5FD7" w:rsidP="000F5FD7">
            <w:pPr>
              <w:rPr>
                <w:rFonts w:ascii="Times New Roman" w:hAnsi="Times New Roman"/>
                <w:sz w:val="22"/>
              </w:rPr>
            </w:pPr>
            <w:r>
              <w:rPr>
                <w:rFonts w:ascii="Times New Roman" w:hAnsi="Times New Roman"/>
                <w:sz w:val="22"/>
              </w:rPr>
              <w:t>…</w:t>
            </w:r>
          </w:p>
          <w:p w14:paraId="31DE56D1" w14:textId="77777777" w:rsidR="000F5FD7" w:rsidRDefault="000F5FD7" w:rsidP="000F5FD7">
            <w:pPr>
              <w:rPr>
                <w:rFonts w:ascii="Times New Roman" w:hAnsi="Times New Roman"/>
                <w:sz w:val="22"/>
              </w:rPr>
            </w:pPr>
            <w:r w:rsidRPr="000F5FD7">
              <w:rPr>
                <w:rFonts w:ascii="Times New Roman" w:hAnsi="Times New Roman"/>
                <w:sz w:val="22"/>
              </w:rPr>
              <w:t>Table 12 identifies the Geo-Fencing Maximum Wait Time values defined for WEA.</w:t>
            </w:r>
          </w:p>
          <w:p w14:paraId="7F6258FA" w14:textId="7ADB3CAD" w:rsidR="000F5FD7" w:rsidRDefault="0035116C" w:rsidP="0035116C">
            <w:pPr>
              <w:jc w:val="center"/>
              <w:rPr>
                <w:rFonts w:ascii="Times New Roman" w:hAnsi="Times New Roman"/>
                <w:sz w:val="22"/>
              </w:rPr>
            </w:pPr>
            <w:r>
              <w:rPr>
                <w:noProof/>
              </w:rPr>
              <w:drawing>
                <wp:inline distT="0" distB="0" distL="0" distR="0" wp14:anchorId="47B3B408" wp14:editId="54186A8A">
                  <wp:extent cx="2608813" cy="962167"/>
                  <wp:effectExtent l="0" t="0" r="1270" b="9525"/>
                  <wp:docPr id="3149059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905988" name=""/>
                          <pic:cNvPicPr/>
                        </pic:nvPicPr>
                        <pic:blipFill>
                          <a:blip r:embed="rId10"/>
                          <a:stretch>
                            <a:fillRect/>
                          </a:stretch>
                        </pic:blipFill>
                        <pic:spPr>
                          <a:xfrm>
                            <a:off x="0" y="0"/>
                            <a:ext cx="2637436" cy="972724"/>
                          </a:xfrm>
                          <a:prstGeom prst="rect">
                            <a:avLst/>
                          </a:prstGeom>
                        </pic:spPr>
                      </pic:pic>
                    </a:graphicData>
                  </a:graphic>
                </wp:inline>
              </w:drawing>
            </w:r>
          </w:p>
          <w:p w14:paraId="36228CFB" w14:textId="2478F5ED" w:rsidR="000F5FD7" w:rsidRPr="000F5FD7" w:rsidRDefault="000F5FD7" w:rsidP="000F5FD7">
            <w:pPr>
              <w:rPr>
                <w:rFonts w:ascii="Times New Roman" w:hAnsi="Times New Roman"/>
                <w:sz w:val="22"/>
              </w:rPr>
            </w:pPr>
            <w:r w:rsidRPr="000F5FD7">
              <w:rPr>
                <w:rFonts w:ascii="Times New Roman" w:hAnsi="Times New Roman"/>
                <w:sz w:val="22"/>
              </w:rPr>
              <w:t>The values have the following meaning:</w:t>
            </w:r>
          </w:p>
          <w:p w14:paraId="6D304563" w14:textId="70CF6CD8" w:rsidR="000F5FD7" w:rsidRPr="000F5FD7" w:rsidRDefault="000F5FD7" w:rsidP="0035116C">
            <w:pPr>
              <w:ind w:leftChars="146" w:left="307"/>
              <w:rPr>
                <w:rFonts w:ascii="Times New Roman" w:hAnsi="Times New Roman"/>
                <w:sz w:val="22"/>
              </w:rPr>
            </w:pPr>
            <w:r w:rsidRPr="000F5FD7">
              <w:rPr>
                <w:rFonts w:ascii="Times New Roman" w:hAnsi="Times New Roman"/>
                <w:sz w:val="22"/>
              </w:rPr>
              <w:t>0</w:t>
            </w:r>
            <w:r>
              <w:rPr>
                <w:rFonts w:ascii="Times New Roman" w:hAnsi="Times New Roman" w:hint="eastAsia"/>
                <w:sz w:val="22"/>
              </w:rPr>
              <w:t xml:space="preserve">: </w:t>
            </w:r>
            <w:r w:rsidR="0035116C">
              <w:rPr>
                <w:rFonts w:ascii="Times New Roman" w:hAnsi="Times New Roman" w:hint="eastAsia"/>
                <w:sz w:val="22"/>
              </w:rPr>
              <w:t xml:space="preserve">     </w:t>
            </w:r>
            <w:r w:rsidRPr="000F5FD7">
              <w:rPr>
                <w:rFonts w:ascii="Times New Roman" w:hAnsi="Times New Roman"/>
                <w:sz w:val="22"/>
              </w:rPr>
              <w:t>Use existing device position meeting operator policy on position age. If existing device position does not meet that operator policy, then present the alert rather than initiating a new positioning determination.</w:t>
            </w:r>
          </w:p>
          <w:p w14:paraId="03BEAC96" w14:textId="7EEE7882" w:rsidR="000F5FD7" w:rsidRPr="000F5FD7" w:rsidRDefault="000F5FD7" w:rsidP="0035116C">
            <w:pPr>
              <w:ind w:leftChars="146" w:left="307"/>
              <w:rPr>
                <w:rFonts w:ascii="Times New Roman" w:hAnsi="Times New Roman"/>
                <w:sz w:val="22"/>
              </w:rPr>
            </w:pPr>
            <w:r w:rsidRPr="000F5FD7">
              <w:rPr>
                <w:rFonts w:ascii="Times New Roman" w:hAnsi="Times New Roman"/>
                <w:sz w:val="22"/>
              </w:rPr>
              <w:t>1-254</w:t>
            </w:r>
            <w:r>
              <w:rPr>
                <w:rFonts w:ascii="Times New Roman" w:hAnsi="Times New Roman" w:hint="eastAsia"/>
                <w:sz w:val="22"/>
              </w:rPr>
              <w:t xml:space="preserve">: </w:t>
            </w:r>
            <w:r w:rsidR="0035116C">
              <w:rPr>
                <w:rFonts w:ascii="Times New Roman" w:hAnsi="Times New Roman" w:hint="eastAsia"/>
                <w:sz w:val="22"/>
              </w:rPr>
              <w:t xml:space="preserve"> </w:t>
            </w:r>
            <w:r w:rsidRPr="000F5FD7">
              <w:rPr>
                <w:rFonts w:ascii="Times New Roman" w:hAnsi="Times New Roman"/>
                <w:sz w:val="22"/>
              </w:rPr>
              <w:t xml:space="preserve">Use the provided value for the maximum wait time to establish a device position meeting operator policy on position age. If a position meeting the operator policy is not established within the wait time, then present the alert to the user and discontinue further position determination. </w:t>
            </w:r>
          </w:p>
          <w:p w14:paraId="5D40B375" w14:textId="608F925A" w:rsidR="000F5FD7" w:rsidRPr="000F5FD7" w:rsidRDefault="000F5FD7" w:rsidP="0035116C">
            <w:pPr>
              <w:ind w:leftChars="146" w:left="307"/>
              <w:rPr>
                <w:rFonts w:ascii="Times New Roman" w:hAnsi="Times New Roman"/>
                <w:sz w:val="22"/>
              </w:rPr>
            </w:pPr>
            <w:r w:rsidRPr="000F5FD7">
              <w:rPr>
                <w:rFonts w:ascii="Times New Roman" w:hAnsi="Times New Roman"/>
                <w:sz w:val="22"/>
              </w:rPr>
              <w:t>255</w:t>
            </w:r>
            <w:r>
              <w:rPr>
                <w:rFonts w:ascii="Times New Roman" w:hAnsi="Times New Roman" w:hint="eastAsia"/>
                <w:sz w:val="22"/>
              </w:rPr>
              <w:t>:</w:t>
            </w:r>
            <w:r w:rsidR="0035116C">
              <w:rPr>
                <w:rFonts w:ascii="Times New Roman" w:hAnsi="Times New Roman" w:hint="eastAsia"/>
                <w:sz w:val="22"/>
              </w:rPr>
              <w:t xml:space="preserve">  </w:t>
            </w:r>
            <w:r>
              <w:rPr>
                <w:rFonts w:ascii="Times New Roman" w:hAnsi="Times New Roman" w:hint="eastAsia"/>
                <w:sz w:val="22"/>
              </w:rPr>
              <w:t xml:space="preserve"> </w:t>
            </w:r>
            <w:r w:rsidR="0035116C">
              <w:rPr>
                <w:rFonts w:ascii="Times New Roman" w:hAnsi="Times New Roman" w:hint="eastAsia"/>
                <w:sz w:val="22"/>
              </w:rPr>
              <w:t xml:space="preserve"> </w:t>
            </w:r>
            <w:r w:rsidRPr="000F5FD7">
              <w:rPr>
                <w:rFonts w:ascii="Times New Roman" w:hAnsi="Times New Roman"/>
                <w:sz w:val="22"/>
              </w:rPr>
              <w:t>Use the device default or implementation Geo-Fencing Maximum Wait Time to establish a device position meeting operator policy on position age. At the end of this time, if a position meeting the operator policy is not established, then present the alert to the user and discontinue further position determination.</w:t>
            </w:r>
          </w:p>
        </w:tc>
      </w:tr>
    </w:tbl>
    <w:p w14:paraId="10A0A518" w14:textId="77777777" w:rsidR="00E433B8" w:rsidRPr="00E433B8" w:rsidRDefault="0035116C" w:rsidP="0035116C">
      <w:pPr>
        <w:spacing w:beforeLines="50" w:before="156" w:afterLines="50" w:after="156"/>
        <w:rPr>
          <w:rFonts w:ascii="Times New Roman" w:hAnsi="Times New Roman"/>
          <w:b/>
          <w:bCs/>
          <w:sz w:val="22"/>
        </w:rPr>
      </w:pPr>
      <w:r w:rsidRPr="00E433B8">
        <w:rPr>
          <w:rFonts w:ascii="Times New Roman" w:hAnsi="Times New Roman"/>
          <w:b/>
          <w:bCs/>
          <w:sz w:val="22"/>
        </w:rPr>
        <w:lastRenderedPageBreak/>
        <w:t xml:space="preserve">Observation 4: The </w:t>
      </w:r>
      <w:r w:rsidRPr="00E433B8">
        <w:rPr>
          <w:rFonts w:ascii="Times New Roman" w:hAnsi="Times New Roman"/>
          <w:b/>
          <w:bCs/>
          <w:i/>
          <w:iCs/>
          <w:sz w:val="22"/>
        </w:rPr>
        <w:t>warningAreaCoordinatesSegment</w:t>
      </w:r>
      <w:r w:rsidRPr="00E433B8">
        <w:rPr>
          <w:rFonts w:ascii="Times New Roman" w:hAnsi="Times New Roman"/>
          <w:b/>
          <w:bCs/>
          <w:sz w:val="22"/>
        </w:rPr>
        <w:t xml:space="preserve"> can be used to indicate Geo-Fencing Maximum Wait Time, which is the time a device shall allow to determine its position meeting operator policy. </w:t>
      </w:r>
    </w:p>
    <w:p w14:paraId="3FC1A8AF" w14:textId="47EADCCE" w:rsidR="0035116C" w:rsidRPr="00E433B8" w:rsidRDefault="00E433B8" w:rsidP="0035116C">
      <w:pPr>
        <w:spacing w:beforeLines="50" w:before="156" w:afterLines="50" w:after="156"/>
        <w:rPr>
          <w:rFonts w:ascii="Times New Roman" w:hAnsi="Times New Roman"/>
          <w:b/>
          <w:bCs/>
          <w:sz w:val="22"/>
        </w:rPr>
      </w:pPr>
      <w:r w:rsidRPr="00E433B8">
        <w:rPr>
          <w:rFonts w:ascii="Times New Roman" w:hAnsi="Times New Roman" w:hint="eastAsia"/>
          <w:b/>
          <w:bCs/>
          <w:sz w:val="22"/>
        </w:rPr>
        <w:t xml:space="preserve">Observation 5: </w:t>
      </w:r>
      <w:r w:rsidR="0035116C" w:rsidRPr="00E433B8">
        <w:rPr>
          <w:rFonts w:ascii="Times New Roman" w:hAnsi="Times New Roman"/>
          <w:b/>
          <w:bCs/>
          <w:sz w:val="22"/>
        </w:rPr>
        <w:t>If the device is unable to determine its position meeting operator policy within the Geo-Fencing Maximum Wait Time, it shall present the alert to the user and discontinue further positioning determination for the alert.</w:t>
      </w:r>
    </w:p>
    <w:p w14:paraId="7722B2E8" w14:textId="156FE46A" w:rsidR="00E433B8" w:rsidRDefault="00E433B8" w:rsidP="0035116C">
      <w:pPr>
        <w:spacing w:beforeLines="50" w:before="156" w:afterLines="50" w:after="156"/>
        <w:rPr>
          <w:rFonts w:ascii="Times New Roman" w:hAnsi="Times New Roman"/>
          <w:sz w:val="22"/>
        </w:rPr>
      </w:pPr>
      <w:r>
        <w:rPr>
          <w:rFonts w:ascii="Times New Roman" w:hAnsi="Times New Roman" w:hint="eastAsia"/>
          <w:sz w:val="22"/>
        </w:rPr>
        <w:t xml:space="preserve">Based on the description in </w:t>
      </w:r>
      <w:r w:rsidRPr="00E433B8">
        <w:rPr>
          <w:rFonts w:ascii="Times New Roman" w:hAnsi="Times New Roman"/>
          <w:sz w:val="22"/>
        </w:rPr>
        <w:t>ATIS-0700041</w:t>
      </w:r>
      <w:r>
        <w:rPr>
          <w:rFonts w:ascii="Times New Roman" w:hAnsi="Times New Roman" w:hint="eastAsia"/>
          <w:sz w:val="22"/>
        </w:rPr>
        <w:t xml:space="preserve">, our understanding is that reception of </w:t>
      </w:r>
      <w:r w:rsidRPr="00E433B8">
        <w:rPr>
          <w:rFonts w:ascii="Times New Roman" w:hAnsi="Times New Roman"/>
          <w:i/>
          <w:iCs/>
          <w:sz w:val="22"/>
        </w:rPr>
        <w:t>warningAreaCoordinatesSegment</w:t>
      </w:r>
      <w:r>
        <w:rPr>
          <w:rFonts w:ascii="Times New Roman" w:hAnsi="Times New Roman" w:hint="eastAsia"/>
          <w:sz w:val="22"/>
        </w:rPr>
        <w:t xml:space="preserve"> indicating </w:t>
      </w:r>
      <w:r w:rsidRPr="00E433B8">
        <w:rPr>
          <w:rFonts w:ascii="Times New Roman" w:hAnsi="Times New Roman"/>
          <w:sz w:val="22"/>
        </w:rPr>
        <w:t>Geo-Fencing Maximum Wait Time</w:t>
      </w:r>
      <w:r>
        <w:rPr>
          <w:rFonts w:ascii="Times New Roman" w:hAnsi="Times New Roman" w:hint="eastAsia"/>
          <w:sz w:val="22"/>
        </w:rPr>
        <w:t xml:space="preserve"> triggers a positioning procedure, and the positioning procedure is expected to success within the indicated time or it will be terminated. Meanwhile the alert seems to be for upper layers which is out of RAN scope or even 3GPP scope.</w:t>
      </w:r>
    </w:p>
    <w:p w14:paraId="495D2561" w14:textId="735C403B" w:rsidR="00E433B8" w:rsidRDefault="00156413" w:rsidP="0035116C">
      <w:pPr>
        <w:spacing w:beforeLines="50" w:before="156" w:afterLines="50" w:after="156"/>
        <w:rPr>
          <w:rFonts w:ascii="Times New Roman" w:hAnsi="Times New Roman"/>
          <w:sz w:val="22"/>
        </w:rPr>
      </w:pPr>
      <w:r>
        <w:rPr>
          <w:rFonts w:ascii="Times New Roman" w:hAnsi="Times New Roman" w:hint="eastAsia"/>
          <w:sz w:val="22"/>
        </w:rPr>
        <w:lastRenderedPageBreak/>
        <w:t>From RAN2 perspective, the following issues can be further discussed:</w:t>
      </w:r>
    </w:p>
    <w:p w14:paraId="1CC11001" w14:textId="1F4E7C34" w:rsidR="00156413" w:rsidRPr="00BA06EF" w:rsidRDefault="00156413" w:rsidP="00BA06EF">
      <w:pPr>
        <w:pStyle w:val="a6"/>
        <w:numPr>
          <w:ilvl w:val="0"/>
          <w:numId w:val="41"/>
        </w:numPr>
        <w:spacing w:beforeLines="50" w:before="156" w:afterLines="50" w:after="156"/>
        <w:ind w:firstLineChars="0"/>
        <w:rPr>
          <w:sz w:val="22"/>
        </w:rPr>
      </w:pPr>
      <w:r w:rsidRPr="00BA06EF">
        <w:rPr>
          <w:rFonts w:hint="eastAsia"/>
          <w:sz w:val="22"/>
        </w:rPr>
        <w:t>W</w:t>
      </w:r>
      <w:r w:rsidRPr="00BA06EF">
        <w:rPr>
          <w:sz w:val="22"/>
        </w:rPr>
        <w:t xml:space="preserve">hether </w:t>
      </w:r>
      <w:r w:rsidRPr="00BA06EF">
        <w:rPr>
          <w:rFonts w:hint="eastAsia"/>
          <w:sz w:val="22"/>
        </w:rPr>
        <w:t xml:space="preserve">reception of </w:t>
      </w:r>
      <w:r w:rsidRPr="00BA06EF">
        <w:rPr>
          <w:i/>
          <w:iCs/>
          <w:sz w:val="22"/>
        </w:rPr>
        <w:t>warningAreaCoordinatesSegment</w:t>
      </w:r>
      <w:r w:rsidRPr="00BA06EF">
        <w:rPr>
          <w:rFonts w:hint="eastAsia"/>
          <w:sz w:val="22"/>
        </w:rPr>
        <w:t xml:space="preserve"> indicating </w:t>
      </w:r>
      <w:r w:rsidRPr="00BA06EF">
        <w:rPr>
          <w:sz w:val="22"/>
        </w:rPr>
        <w:t>Geo-Fencing Maximum Wait Time</w:t>
      </w:r>
      <w:r w:rsidRPr="00BA06EF">
        <w:rPr>
          <w:rFonts w:hint="eastAsia"/>
          <w:sz w:val="22"/>
        </w:rPr>
        <w:t xml:space="preserve"> always </w:t>
      </w:r>
      <w:r w:rsidRPr="00BA06EF">
        <w:rPr>
          <w:sz w:val="22"/>
        </w:rPr>
        <w:t xml:space="preserve">triggers </w:t>
      </w:r>
      <w:r w:rsidRPr="00BA06EF">
        <w:rPr>
          <w:rFonts w:hint="eastAsia"/>
          <w:sz w:val="22"/>
        </w:rPr>
        <w:t>a</w:t>
      </w:r>
      <w:r w:rsidRPr="00BA06EF">
        <w:rPr>
          <w:sz w:val="22"/>
        </w:rPr>
        <w:t xml:space="preserve"> positioning or </w:t>
      </w:r>
      <w:r w:rsidRPr="00BA06EF">
        <w:rPr>
          <w:rFonts w:hint="eastAsia"/>
          <w:sz w:val="22"/>
        </w:rPr>
        <w:t>a</w:t>
      </w:r>
      <w:r w:rsidRPr="00BA06EF">
        <w:rPr>
          <w:sz w:val="22"/>
        </w:rPr>
        <w:t xml:space="preserve"> current UE position </w:t>
      </w:r>
      <w:r w:rsidRPr="00BA06EF">
        <w:rPr>
          <w:rFonts w:hint="eastAsia"/>
          <w:sz w:val="22"/>
        </w:rPr>
        <w:t xml:space="preserve">(e.g. for UL </w:t>
      </w:r>
      <w:r w:rsidRPr="00BA06EF">
        <w:rPr>
          <w:sz w:val="22"/>
        </w:rPr>
        <w:t>synchronization</w:t>
      </w:r>
      <w:r w:rsidRPr="00BA06EF">
        <w:rPr>
          <w:rFonts w:hint="eastAsia"/>
          <w:sz w:val="22"/>
        </w:rPr>
        <w:t xml:space="preserve"> in NTN) </w:t>
      </w:r>
      <w:r w:rsidRPr="00BA06EF">
        <w:rPr>
          <w:sz w:val="22"/>
        </w:rPr>
        <w:t>can be reused</w:t>
      </w:r>
      <w:r w:rsidRPr="00BA06EF">
        <w:rPr>
          <w:rFonts w:hint="eastAsia"/>
          <w:sz w:val="22"/>
        </w:rPr>
        <w:t>.</w:t>
      </w:r>
    </w:p>
    <w:p w14:paraId="137381ED" w14:textId="05ED8F84" w:rsidR="00156413" w:rsidRPr="00BA06EF" w:rsidRDefault="00156413" w:rsidP="00BA06EF">
      <w:pPr>
        <w:pStyle w:val="a6"/>
        <w:numPr>
          <w:ilvl w:val="0"/>
          <w:numId w:val="41"/>
        </w:numPr>
        <w:spacing w:beforeLines="50" w:before="156" w:afterLines="50" w:after="156"/>
        <w:ind w:firstLineChars="0"/>
        <w:rPr>
          <w:sz w:val="22"/>
        </w:rPr>
      </w:pPr>
      <w:r w:rsidRPr="00BA06EF">
        <w:rPr>
          <w:rFonts w:hint="eastAsia"/>
          <w:sz w:val="22"/>
        </w:rPr>
        <w:t>W</w:t>
      </w:r>
      <w:r w:rsidRPr="00BA06EF">
        <w:rPr>
          <w:sz w:val="22"/>
        </w:rPr>
        <w:t xml:space="preserve">hether </w:t>
      </w:r>
      <w:r w:rsidRPr="00BA06EF">
        <w:rPr>
          <w:rFonts w:hint="eastAsia"/>
          <w:sz w:val="22"/>
        </w:rPr>
        <w:t xml:space="preserve">the </w:t>
      </w:r>
      <w:r w:rsidRPr="00BA06EF">
        <w:rPr>
          <w:sz w:val="22"/>
        </w:rPr>
        <w:t xml:space="preserve">TA </w:t>
      </w:r>
      <w:r w:rsidRPr="00BA06EF">
        <w:rPr>
          <w:rFonts w:hint="eastAsia"/>
          <w:sz w:val="22"/>
        </w:rPr>
        <w:t xml:space="preserve">at UE for UL </w:t>
      </w:r>
      <w:r w:rsidRPr="00BA06EF">
        <w:rPr>
          <w:sz w:val="22"/>
        </w:rPr>
        <w:t>synchronization</w:t>
      </w:r>
      <w:r w:rsidRPr="00BA06EF">
        <w:rPr>
          <w:rFonts w:hint="eastAsia"/>
          <w:sz w:val="22"/>
        </w:rPr>
        <w:t xml:space="preserve"> in NTN </w:t>
      </w:r>
      <w:r w:rsidRPr="00BA06EF">
        <w:rPr>
          <w:sz w:val="22"/>
        </w:rPr>
        <w:t>ne</w:t>
      </w:r>
      <w:r w:rsidRPr="00BA06EF">
        <w:rPr>
          <w:rFonts w:hint="eastAsia"/>
          <w:sz w:val="22"/>
        </w:rPr>
        <w:t>e</w:t>
      </w:r>
      <w:r w:rsidRPr="00BA06EF">
        <w:rPr>
          <w:sz w:val="22"/>
        </w:rPr>
        <w:t>ds to be upda</w:t>
      </w:r>
      <w:r w:rsidRPr="00BA06EF">
        <w:rPr>
          <w:rFonts w:hint="eastAsia"/>
          <w:sz w:val="22"/>
        </w:rPr>
        <w:t>t</w:t>
      </w:r>
      <w:r w:rsidRPr="00BA06EF">
        <w:rPr>
          <w:sz w:val="22"/>
        </w:rPr>
        <w:t xml:space="preserve">ed based on the positioning </w:t>
      </w:r>
      <w:r w:rsidRPr="00BA06EF">
        <w:rPr>
          <w:rFonts w:hint="eastAsia"/>
          <w:sz w:val="22"/>
        </w:rPr>
        <w:t xml:space="preserve">result </w:t>
      </w:r>
      <w:r w:rsidRPr="00BA06EF">
        <w:rPr>
          <w:sz w:val="22"/>
        </w:rPr>
        <w:t>triggered</w:t>
      </w:r>
      <w:r w:rsidRPr="00BA06EF">
        <w:rPr>
          <w:rFonts w:hint="eastAsia"/>
          <w:sz w:val="22"/>
        </w:rPr>
        <w:t xml:space="preserve"> by </w:t>
      </w:r>
      <w:r w:rsidRPr="00BA06EF">
        <w:rPr>
          <w:i/>
          <w:iCs/>
          <w:sz w:val="22"/>
        </w:rPr>
        <w:t>warningAreaCoordinatesSegment</w:t>
      </w:r>
      <w:r w:rsidRPr="00BA06EF">
        <w:rPr>
          <w:rFonts w:hint="eastAsia"/>
          <w:sz w:val="22"/>
        </w:rPr>
        <w:t xml:space="preserve"> indicating </w:t>
      </w:r>
      <w:r w:rsidRPr="00BA06EF">
        <w:rPr>
          <w:sz w:val="22"/>
        </w:rPr>
        <w:t>Geo-Fencing Maximum Wait Time</w:t>
      </w:r>
      <w:r w:rsidRPr="00BA06EF">
        <w:rPr>
          <w:rFonts w:hint="eastAsia"/>
          <w:sz w:val="22"/>
        </w:rPr>
        <w:t>.</w:t>
      </w:r>
    </w:p>
    <w:p w14:paraId="03710E88" w14:textId="2AD09C4E" w:rsidR="0035116C" w:rsidRPr="00156413" w:rsidRDefault="0035116C" w:rsidP="0035116C">
      <w:pPr>
        <w:spacing w:beforeLines="50" w:before="156" w:afterLines="50" w:after="156"/>
        <w:rPr>
          <w:rFonts w:ascii="Times New Roman" w:hAnsi="Times New Roman"/>
          <w:b/>
          <w:bCs/>
          <w:sz w:val="22"/>
        </w:rPr>
      </w:pPr>
      <w:r w:rsidRPr="00156413">
        <w:rPr>
          <w:rFonts w:ascii="Times New Roman" w:hAnsi="Times New Roman"/>
          <w:b/>
          <w:bCs/>
          <w:sz w:val="22"/>
        </w:rPr>
        <w:t xml:space="preserve">Proposal 2: </w:t>
      </w:r>
      <w:r w:rsidR="00445B3A">
        <w:rPr>
          <w:rFonts w:ascii="Times New Roman" w:hAnsi="Times New Roman" w:hint="eastAsia"/>
          <w:b/>
          <w:bCs/>
          <w:sz w:val="22"/>
        </w:rPr>
        <w:t>For</w:t>
      </w:r>
      <w:r w:rsidRPr="00156413">
        <w:rPr>
          <w:rFonts w:ascii="Times New Roman" w:hAnsi="Times New Roman"/>
          <w:b/>
          <w:bCs/>
          <w:sz w:val="22"/>
        </w:rPr>
        <w:t xml:space="preserve"> </w:t>
      </w:r>
      <w:r w:rsidRPr="00156413">
        <w:rPr>
          <w:rFonts w:ascii="Times New Roman" w:hAnsi="Times New Roman"/>
          <w:b/>
          <w:bCs/>
          <w:i/>
          <w:iCs/>
          <w:sz w:val="22"/>
        </w:rPr>
        <w:t>warningAreaCoordinatesSegment</w:t>
      </w:r>
      <w:r w:rsidRPr="00156413">
        <w:rPr>
          <w:rFonts w:ascii="Times New Roman" w:hAnsi="Times New Roman"/>
          <w:b/>
          <w:bCs/>
          <w:sz w:val="22"/>
        </w:rPr>
        <w:t xml:space="preserve"> used to indicate the Geo-Fencing Maximum Wait Time, RAN2 to </w:t>
      </w:r>
      <w:r w:rsidR="00156413" w:rsidRPr="00156413">
        <w:rPr>
          <w:rFonts w:ascii="Times New Roman" w:hAnsi="Times New Roman" w:hint="eastAsia"/>
          <w:b/>
          <w:bCs/>
          <w:sz w:val="22"/>
        </w:rPr>
        <w:t xml:space="preserve">decide whether to </w:t>
      </w:r>
      <w:r w:rsidRPr="00156413">
        <w:rPr>
          <w:rFonts w:ascii="Times New Roman" w:hAnsi="Times New Roman"/>
          <w:b/>
          <w:bCs/>
          <w:sz w:val="22"/>
        </w:rPr>
        <w:t xml:space="preserve">discuss its impact on </w:t>
      </w:r>
      <w:r w:rsidR="00156413" w:rsidRPr="00156413">
        <w:rPr>
          <w:rFonts w:ascii="Times New Roman" w:hAnsi="Times New Roman" w:hint="eastAsia"/>
          <w:b/>
          <w:bCs/>
          <w:sz w:val="22"/>
        </w:rPr>
        <w:t>positioning triggering and TA update</w:t>
      </w:r>
      <w:r w:rsidRPr="00156413">
        <w:rPr>
          <w:rFonts w:ascii="Times New Roman" w:hAnsi="Times New Roman"/>
          <w:b/>
          <w:bCs/>
          <w:sz w:val="22"/>
        </w:rPr>
        <w:t xml:space="preserve"> in </w:t>
      </w:r>
      <w:r w:rsidR="00156413" w:rsidRPr="00156413">
        <w:rPr>
          <w:rFonts w:ascii="Times New Roman" w:hAnsi="Times New Roman" w:hint="eastAsia"/>
          <w:b/>
          <w:bCs/>
          <w:sz w:val="22"/>
        </w:rPr>
        <w:t xml:space="preserve">NR </w:t>
      </w:r>
      <w:r w:rsidRPr="00156413">
        <w:rPr>
          <w:rFonts w:ascii="Times New Roman" w:hAnsi="Times New Roman"/>
          <w:b/>
          <w:bCs/>
          <w:sz w:val="22"/>
        </w:rPr>
        <w:t xml:space="preserve">NTN </w:t>
      </w:r>
      <w:r w:rsidR="00156413" w:rsidRPr="00156413">
        <w:rPr>
          <w:rFonts w:ascii="Times New Roman" w:hAnsi="Times New Roman" w:hint="eastAsia"/>
          <w:b/>
          <w:bCs/>
          <w:sz w:val="22"/>
        </w:rPr>
        <w:t>or leave it to UE implementation</w:t>
      </w:r>
      <w:r w:rsidRPr="00156413">
        <w:rPr>
          <w:rFonts w:ascii="Times New Roman" w:hAnsi="Times New Roman"/>
          <w:b/>
          <w:bCs/>
          <w:sz w:val="22"/>
        </w:rPr>
        <w:t>.</w:t>
      </w:r>
    </w:p>
    <w:p w14:paraId="6F7DA22D" w14:textId="1936FD3D" w:rsidR="00DE4E63" w:rsidRPr="00DE4E63" w:rsidRDefault="00DE4E63" w:rsidP="00B95FDA">
      <w:pPr>
        <w:spacing w:beforeLines="50" w:before="156" w:afterLines="50" w:after="156"/>
        <w:rPr>
          <w:rFonts w:ascii="Times New Roman" w:hAnsi="Times New Roman"/>
          <w:sz w:val="22"/>
        </w:rPr>
      </w:pPr>
      <w:r w:rsidRPr="00DE4E63">
        <w:rPr>
          <w:rFonts w:ascii="Times New Roman" w:hAnsi="Times New Roman"/>
          <w:sz w:val="22"/>
        </w:rPr>
        <w:t>As per TS38.413, the legacy PWS mechanism between gNB and AMF includes the following PWS procedures:</w:t>
      </w:r>
    </w:p>
    <w:p w14:paraId="41C379E8" w14:textId="7D730153" w:rsidR="00DE4E63" w:rsidRPr="00573C4C" w:rsidRDefault="00DE4E63" w:rsidP="00B95FDA">
      <w:pPr>
        <w:pStyle w:val="a6"/>
        <w:numPr>
          <w:ilvl w:val="0"/>
          <w:numId w:val="39"/>
        </w:numPr>
        <w:spacing w:beforeLines="50" w:before="156" w:afterLines="50" w:after="156"/>
        <w:ind w:firstLineChars="0"/>
        <w:jc w:val="both"/>
        <w:rPr>
          <w:sz w:val="22"/>
        </w:rPr>
      </w:pPr>
      <w:r w:rsidRPr="00573C4C">
        <w:rPr>
          <w:sz w:val="22"/>
        </w:rPr>
        <w:t>Write-Replace Warning: to start or overwrite the broadcasting of warning messages, including Request procedure from AMF and Response procedure from</w:t>
      </w:r>
      <w:r w:rsidR="00B95FDA">
        <w:rPr>
          <w:rFonts w:hint="eastAsia"/>
          <w:sz w:val="22"/>
          <w:lang w:eastAsia="zh-CN"/>
        </w:rPr>
        <w:t xml:space="preserve"> </w:t>
      </w:r>
      <w:r w:rsidRPr="00573C4C">
        <w:rPr>
          <w:sz w:val="22"/>
        </w:rPr>
        <w:t>gNB.</w:t>
      </w:r>
    </w:p>
    <w:p w14:paraId="03287FF1" w14:textId="62F5B544" w:rsidR="00DE4E63" w:rsidRPr="00573C4C" w:rsidRDefault="00DE4E63" w:rsidP="00B95FDA">
      <w:pPr>
        <w:pStyle w:val="a6"/>
        <w:numPr>
          <w:ilvl w:val="0"/>
          <w:numId w:val="39"/>
        </w:numPr>
        <w:spacing w:beforeLines="50" w:before="156" w:afterLines="50" w:after="156"/>
        <w:ind w:firstLineChars="0"/>
        <w:jc w:val="both"/>
        <w:rPr>
          <w:sz w:val="22"/>
        </w:rPr>
      </w:pPr>
      <w:r w:rsidRPr="00573C4C">
        <w:rPr>
          <w:sz w:val="22"/>
        </w:rPr>
        <w:t>Kill: to cancel an already ongoing broadcast of a warning message, including Request procedure from AMF and Response procedure from gNB.</w:t>
      </w:r>
    </w:p>
    <w:p w14:paraId="43C0FF0B" w14:textId="448D57ED" w:rsidR="00DE4E63" w:rsidRPr="00573C4C" w:rsidRDefault="00DE4E63" w:rsidP="00B95FDA">
      <w:pPr>
        <w:pStyle w:val="a6"/>
        <w:numPr>
          <w:ilvl w:val="0"/>
          <w:numId w:val="39"/>
        </w:numPr>
        <w:spacing w:beforeLines="50" w:before="156" w:afterLines="50" w:after="156"/>
        <w:ind w:firstLineChars="0"/>
        <w:jc w:val="both"/>
        <w:rPr>
          <w:sz w:val="22"/>
        </w:rPr>
      </w:pPr>
      <w:r w:rsidRPr="00573C4C">
        <w:rPr>
          <w:sz w:val="22"/>
        </w:rPr>
        <w:t xml:space="preserve">PWS Restart Indication: to inform the AMF that PWS information for some or all cells of the eNB are available for reloading. </w:t>
      </w:r>
    </w:p>
    <w:p w14:paraId="5E050F34" w14:textId="4006D260" w:rsidR="00DE4E63" w:rsidRPr="00573C4C" w:rsidRDefault="00DE4E63" w:rsidP="00B95FDA">
      <w:pPr>
        <w:pStyle w:val="a6"/>
        <w:numPr>
          <w:ilvl w:val="0"/>
          <w:numId w:val="39"/>
        </w:numPr>
        <w:spacing w:beforeLines="50" w:before="156" w:afterLines="50" w:after="156"/>
        <w:ind w:firstLineChars="0"/>
        <w:jc w:val="both"/>
        <w:rPr>
          <w:sz w:val="22"/>
        </w:rPr>
      </w:pPr>
      <w:r w:rsidRPr="00573C4C">
        <w:rPr>
          <w:sz w:val="22"/>
        </w:rPr>
        <w:t>PWS Failure Indication: to inform the AMF that ongoing PWS operation for one or more cells of the eNB has failed.</w:t>
      </w:r>
    </w:p>
    <w:p w14:paraId="1791108E" w14:textId="7C2A964F" w:rsidR="00156413" w:rsidRDefault="00DE4E63" w:rsidP="00DE4E63">
      <w:pPr>
        <w:spacing w:beforeLines="50" w:before="156" w:afterLines="50" w:after="156"/>
        <w:rPr>
          <w:rFonts w:ascii="Times New Roman" w:hAnsi="Times New Roman"/>
          <w:sz w:val="22"/>
        </w:rPr>
      </w:pPr>
      <w:r w:rsidRPr="00DE4E63">
        <w:rPr>
          <w:rFonts w:ascii="Times New Roman" w:hAnsi="Times New Roman"/>
          <w:sz w:val="22"/>
        </w:rPr>
        <w:t>It is observed that, the Warning Area Coordinates IE can only be included in Write-Replace Warning Request procedure, while for other procedures, the IEs Emergency Area ID, Broadcast Completed Area and Broadcast Cancelled Area used are represented by cell ID E-CGI. It means that except for Write-Replace Warning Request, the legacy PWS procedures between gNB and AMF can only indicate cell-level PWS information.</w:t>
      </w:r>
    </w:p>
    <w:p w14:paraId="2347196D" w14:textId="0E6CD350" w:rsidR="0035116C" w:rsidRPr="00573C4C" w:rsidRDefault="0035116C" w:rsidP="0035116C">
      <w:pPr>
        <w:spacing w:beforeLines="50" w:before="156" w:afterLines="50" w:after="156"/>
        <w:rPr>
          <w:rFonts w:ascii="Times New Roman" w:hAnsi="Times New Roman"/>
          <w:b/>
          <w:bCs/>
          <w:sz w:val="22"/>
        </w:rPr>
      </w:pPr>
      <w:r w:rsidRPr="00573C4C">
        <w:rPr>
          <w:rFonts w:ascii="Times New Roman" w:hAnsi="Times New Roman"/>
          <w:b/>
          <w:bCs/>
          <w:sz w:val="22"/>
        </w:rPr>
        <w:t xml:space="preserve">Observation </w:t>
      </w:r>
      <w:r w:rsidR="00156413" w:rsidRPr="00573C4C">
        <w:rPr>
          <w:rFonts w:ascii="Times New Roman" w:hAnsi="Times New Roman" w:hint="eastAsia"/>
          <w:b/>
          <w:bCs/>
          <w:sz w:val="22"/>
        </w:rPr>
        <w:t>6</w:t>
      </w:r>
      <w:r w:rsidRPr="00573C4C">
        <w:rPr>
          <w:rFonts w:ascii="Times New Roman" w:hAnsi="Times New Roman"/>
          <w:b/>
          <w:bCs/>
          <w:sz w:val="22"/>
        </w:rPr>
        <w:t>: Except for Write-Replace Warning Request, the legacy PWS procedures between gNB and AMF can only indicate cell-level PWS information.</w:t>
      </w:r>
    </w:p>
    <w:p w14:paraId="2EB9E5E9" w14:textId="2FE4065C" w:rsidR="00573C4C" w:rsidRDefault="00573C4C" w:rsidP="009A2E10">
      <w:pPr>
        <w:spacing w:beforeLines="50" w:before="156" w:afterLines="50" w:after="156"/>
        <w:rPr>
          <w:rFonts w:ascii="Times New Roman" w:hAnsi="Times New Roman"/>
          <w:sz w:val="22"/>
        </w:rPr>
      </w:pPr>
      <w:r w:rsidRPr="00573C4C">
        <w:rPr>
          <w:rFonts w:ascii="Times New Roman" w:hAnsi="Times New Roman"/>
          <w:sz w:val="22"/>
        </w:rPr>
        <w:t>For emergency broadcast service in a geographical area smaller than an NTN cell, emergency broadcast service area information may also be needed for PWS procedures other than Write-Replace Warning Request</w:t>
      </w:r>
      <w:r>
        <w:rPr>
          <w:rFonts w:ascii="Times New Roman" w:hAnsi="Times New Roman" w:hint="eastAsia"/>
          <w:sz w:val="22"/>
        </w:rPr>
        <w:t xml:space="preserve">, </w:t>
      </w:r>
      <w:r>
        <w:rPr>
          <w:rFonts w:ascii="Times New Roman" w:hAnsi="Times New Roman"/>
          <w:sz w:val="22"/>
        </w:rPr>
        <w:t>e.g.</w:t>
      </w:r>
      <w:r>
        <w:rPr>
          <w:rFonts w:ascii="Times New Roman" w:hAnsi="Times New Roman" w:hint="eastAsia"/>
          <w:sz w:val="22"/>
        </w:rPr>
        <w:t>:</w:t>
      </w:r>
    </w:p>
    <w:p w14:paraId="2D1D1D9F" w14:textId="7B206EBC" w:rsidR="00573C4C" w:rsidRPr="009A2E10" w:rsidRDefault="00573C4C" w:rsidP="009A2E10">
      <w:pPr>
        <w:pStyle w:val="a6"/>
        <w:numPr>
          <w:ilvl w:val="0"/>
          <w:numId w:val="40"/>
        </w:numPr>
        <w:spacing w:beforeLines="50" w:before="156" w:afterLines="50" w:after="156"/>
        <w:ind w:firstLineChars="0"/>
        <w:jc w:val="both"/>
        <w:rPr>
          <w:sz w:val="22"/>
        </w:rPr>
      </w:pPr>
      <w:r w:rsidRPr="009A2E10">
        <w:rPr>
          <w:rFonts w:hint="eastAsia"/>
          <w:sz w:val="22"/>
        </w:rPr>
        <w:t xml:space="preserve">In </w:t>
      </w:r>
      <w:r w:rsidRPr="009A2E10">
        <w:rPr>
          <w:sz w:val="22"/>
        </w:rPr>
        <w:t xml:space="preserve">Kill Request from AMF to gNB: the information is used to indicate in which area an already ongoing broadcast of a warning message need to be cancelled. </w:t>
      </w:r>
    </w:p>
    <w:p w14:paraId="51063062" w14:textId="5D1F402F" w:rsidR="00573C4C" w:rsidRPr="009A2E10" w:rsidRDefault="00573C4C" w:rsidP="009A2E10">
      <w:pPr>
        <w:pStyle w:val="a6"/>
        <w:numPr>
          <w:ilvl w:val="0"/>
          <w:numId w:val="40"/>
        </w:numPr>
        <w:spacing w:beforeLines="50" w:before="156" w:afterLines="50" w:after="156"/>
        <w:ind w:firstLineChars="0"/>
        <w:jc w:val="both"/>
        <w:rPr>
          <w:sz w:val="22"/>
        </w:rPr>
      </w:pPr>
      <w:r w:rsidRPr="009A2E10">
        <w:rPr>
          <w:rFonts w:hint="eastAsia"/>
          <w:sz w:val="22"/>
        </w:rPr>
        <w:t xml:space="preserve">In </w:t>
      </w:r>
      <w:r w:rsidRPr="009A2E10">
        <w:rPr>
          <w:sz w:val="22"/>
        </w:rPr>
        <w:t>Kill Response from gNB to AMF: the information is used to indicate in which area the broadcast of a warning message is cancelled.</w:t>
      </w:r>
    </w:p>
    <w:p w14:paraId="757AEE59" w14:textId="149F8AAE" w:rsidR="00573C4C" w:rsidRPr="009A2E10" w:rsidRDefault="00573C4C" w:rsidP="009A2E10">
      <w:pPr>
        <w:pStyle w:val="a6"/>
        <w:numPr>
          <w:ilvl w:val="0"/>
          <w:numId w:val="40"/>
        </w:numPr>
        <w:spacing w:beforeLines="50" w:before="156" w:afterLines="50" w:after="156"/>
        <w:ind w:firstLineChars="0"/>
        <w:jc w:val="both"/>
        <w:rPr>
          <w:sz w:val="22"/>
        </w:rPr>
      </w:pPr>
      <w:r w:rsidRPr="009A2E10">
        <w:rPr>
          <w:rFonts w:hint="eastAsia"/>
          <w:sz w:val="22"/>
        </w:rPr>
        <w:t xml:space="preserve">In </w:t>
      </w:r>
      <w:r w:rsidRPr="009A2E10">
        <w:rPr>
          <w:sz w:val="22"/>
        </w:rPr>
        <w:t xml:space="preserve">PWS Restart Indication from gNB to AMF: the information is used to inform the AMF that PWS information for one or more areas under gNB coverage are available for reloading. </w:t>
      </w:r>
    </w:p>
    <w:p w14:paraId="1FA4E98A" w14:textId="08D54505" w:rsidR="00573C4C" w:rsidRPr="009A2E10" w:rsidRDefault="00573C4C" w:rsidP="009A2E10">
      <w:pPr>
        <w:pStyle w:val="a6"/>
        <w:numPr>
          <w:ilvl w:val="0"/>
          <w:numId w:val="40"/>
        </w:numPr>
        <w:spacing w:beforeLines="50" w:before="156" w:afterLines="50" w:after="156"/>
        <w:ind w:firstLineChars="0"/>
        <w:jc w:val="both"/>
        <w:rPr>
          <w:sz w:val="22"/>
        </w:rPr>
      </w:pPr>
      <w:r w:rsidRPr="009A2E10">
        <w:rPr>
          <w:sz w:val="22"/>
        </w:rPr>
        <w:t>In PWS Failure Indication from gNB to AMF: the information is used to inform the AMF that ongoing PWS operation for one or more areas under gNB coverage has failed.</w:t>
      </w:r>
    </w:p>
    <w:p w14:paraId="04C19815" w14:textId="151055D7" w:rsidR="000F5FD7" w:rsidRPr="00573C4C" w:rsidRDefault="0035116C" w:rsidP="0035116C">
      <w:pPr>
        <w:spacing w:beforeLines="50" w:before="156" w:afterLines="50" w:after="156"/>
        <w:rPr>
          <w:rFonts w:ascii="Times New Roman" w:hAnsi="Times New Roman"/>
          <w:b/>
          <w:bCs/>
          <w:sz w:val="22"/>
        </w:rPr>
      </w:pPr>
      <w:r w:rsidRPr="00573C4C">
        <w:rPr>
          <w:rFonts w:ascii="Times New Roman" w:hAnsi="Times New Roman"/>
          <w:b/>
          <w:bCs/>
          <w:sz w:val="22"/>
        </w:rPr>
        <w:t>Proposal 3: For emergency broadcast service in a geographical area smaller than an NTN cell, RAN2 to discuss whether emergency broadcast service area information is needed for PWS procedures other than Write-Replace Warning Request. (Send LS to RAN3 if needed)</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14:paraId="362B86AF" w14:textId="51D8F138" w:rsidR="009A4608" w:rsidRDefault="00886071" w:rsidP="00D4294B">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801174">
        <w:rPr>
          <w:rFonts w:ascii="Times New Roman" w:hAnsi="Times New Roman"/>
          <w:sz w:val="22"/>
        </w:rPr>
        <w:t xml:space="preserve">discuss </w:t>
      </w:r>
      <w:r w:rsidR="009A2E10" w:rsidRPr="009A2E10">
        <w:rPr>
          <w:rFonts w:ascii="Times New Roman" w:hAnsi="Times New Roman"/>
          <w:sz w:val="22"/>
        </w:rPr>
        <w:t>the signaling details of “warning area coordinates” to be introduced for ETWS in NR NTN.</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7C94845F" w14:textId="77777777" w:rsidR="009A2E10" w:rsidRPr="000F5FD7" w:rsidRDefault="009A2E10" w:rsidP="009A2E10">
      <w:pPr>
        <w:spacing w:beforeLines="50" w:before="156" w:afterLines="50" w:after="156"/>
        <w:rPr>
          <w:rFonts w:ascii="Times New Roman" w:hAnsi="Times New Roman"/>
          <w:b/>
          <w:bCs/>
          <w:sz w:val="22"/>
        </w:rPr>
      </w:pPr>
      <w:r w:rsidRPr="000F5FD7">
        <w:rPr>
          <w:rFonts w:ascii="Times New Roman" w:hAnsi="Times New Roman"/>
          <w:b/>
          <w:bCs/>
          <w:sz w:val="22"/>
        </w:rPr>
        <w:t xml:space="preserve">Observation 1: The IE </w:t>
      </w:r>
      <w:r w:rsidRPr="000F5FD7">
        <w:rPr>
          <w:rFonts w:ascii="Times New Roman" w:hAnsi="Times New Roman"/>
          <w:b/>
          <w:bCs/>
          <w:i/>
          <w:iCs/>
          <w:sz w:val="22"/>
        </w:rPr>
        <w:t>warningAreaCoordinatesSegment</w:t>
      </w:r>
      <w:r w:rsidRPr="000F5FD7">
        <w:rPr>
          <w:rFonts w:ascii="Times New Roman" w:hAnsi="Times New Roman"/>
          <w:b/>
          <w:bCs/>
          <w:sz w:val="22"/>
        </w:rPr>
        <w:t xml:space="preserve"> for CMAS can describe circles and polygons.</w:t>
      </w:r>
    </w:p>
    <w:p w14:paraId="68A71C2E" w14:textId="77777777" w:rsidR="009A2E10" w:rsidRPr="000F5FD7" w:rsidRDefault="009A2E10" w:rsidP="009A2E10">
      <w:pPr>
        <w:spacing w:beforeLines="50" w:before="156" w:afterLines="50" w:after="156"/>
        <w:rPr>
          <w:rFonts w:ascii="Times New Roman" w:hAnsi="Times New Roman"/>
          <w:b/>
          <w:bCs/>
          <w:sz w:val="22"/>
        </w:rPr>
      </w:pPr>
      <w:r w:rsidRPr="000F5FD7">
        <w:rPr>
          <w:rFonts w:ascii="Times New Roman" w:hAnsi="Times New Roman"/>
          <w:b/>
          <w:bCs/>
          <w:sz w:val="22"/>
        </w:rPr>
        <w:t xml:space="preserve">Observation 2: The IE </w:t>
      </w:r>
      <w:r w:rsidRPr="000F5FD7">
        <w:rPr>
          <w:rFonts w:ascii="Times New Roman" w:hAnsi="Times New Roman"/>
          <w:b/>
          <w:bCs/>
          <w:i/>
          <w:iCs/>
          <w:sz w:val="22"/>
        </w:rPr>
        <w:t>warningAreaCoordinatesSegment</w:t>
      </w:r>
      <w:r w:rsidRPr="000F5FD7">
        <w:rPr>
          <w:rFonts w:ascii="Times New Roman" w:hAnsi="Times New Roman"/>
          <w:b/>
          <w:bCs/>
          <w:sz w:val="22"/>
        </w:rPr>
        <w:t xml:space="preserve"> has a total number limit 10 for all circles and polygons, and a total number limit 100 for coordinates of all circles and polygons.</w:t>
      </w:r>
    </w:p>
    <w:p w14:paraId="6DF111A9" w14:textId="77777777" w:rsidR="009A2E10" w:rsidRPr="000F5FD7" w:rsidRDefault="009A2E10" w:rsidP="009A2E10">
      <w:pPr>
        <w:spacing w:beforeLines="50" w:before="156" w:afterLines="50" w:after="156"/>
        <w:rPr>
          <w:rFonts w:ascii="Times New Roman" w:hAnsi="Times New Roman"/>
          <w:b/>
          <w:bCs/>
          <w:sz w:val="22"/>
        </w:rPr>
      </w:pPr>
      <w:r w:rsidRPr="000F5FD7">
        <w:rPr>
          <w:rFonts w:ascii="Times New Roman" w:hAnsi="Times New Roman"/>
          <w:b/>
          <w:bCs/>
          <w:sz w:val="22"/>
        </w:rPr>
        <w:t xml:space="preserve">Observation 3: When describing circles, in the IE </w:t>
      </w:r>
      <w:r w:rsidRPr="000F5FD7">
        <w:rPr>
          <w:rFonts w:ascii="Times New Roman" w:hAnsi="Times New Roman"/>
          <w:b/>
          <w:bCs/>
          <w:i/>
          <w:iCs/>
          <w:sz w:val="22"/>
        </w:rPr>
        <w:t>warningAreaCoordinatesSegment</w:t>
      </w:r>
      <w:r w:rsidRPr="000F5FD7">
        <w:rPr>
          <w:rFonts w:ascii="Times New Roman" w:hAnsi="Times New Roman"/>
          <w:b/>
          <w:bCs/>
          <w:sz w:val="22"/>
        </w:rPr>
        <w:t xml:space="preserve"> the granularity of radius is 1km and the value range is 64km.</w:t>
      </w:r>
    </w:p>
    <w:p w14:paraId="20EDB982" w14:textId="77777777" w:rsidR="009A2E10" w:rsidRPr="00E433B8" w:rsidRDefault="009A2E10" w:rsidP="009A2E10">
      <w:pPr>
        <w:spacing w:beforeLines="50" w:before="156" w:afterLines="50" w:after="156"/>
        <w:rPr>
          <w:rFonts w:ascii="Times New Roman" w:hAnsi="Times New Roman"/>
          <w:b/>
          <w:bCs/>
          <w:sz w:val="22"/>
        </w:rPr>
      </w:pPr>
      <w:r w:rsidRPr="00E433B8">
        <w:rPr>
          <w:rFonts w:ascii="Times New Roman" w:hAnsi="Times New Roman"/>
          <w:b/>
          <w:bCs/>
          <w:sz w:val="22"/>
        </w:rPr>
        <w:t xml:space="preserve">Observation 4: The </w:t>
      </w:r>
      <w:r w:rsidRPr="00E433B8">
        <w:rPr>
          <w:rFonts w:ascii="Times New Roman" w:hAnsi="Times New Roman"/>
          <w:b/>
          <w:bCs/>
          <w:i/>
          <w:iCs/>
          <w:sz w:val="22"/>
        </w:rPr>
        <w:t>warningAreaCoordinatesSegment</w:t>
      </w:r>
      <w:r w:rsidRPr="00E433B8">
        <w:rPr>
          <w:rFonts w:ascii="Times New Roman" w:hAnsi="Times New Roman"/>
          <w:b/>
          <w:bCs/>
          <w:sz w:val="22"/>
        </w:rPr>
        <w:t xml:space="preserve"> can be used to indicate Geo-Fencing Maximum Wait Time, which is the time a device shall allow to determine its position meeting operator policy. </w:t>
      </w:r>
    </w:p>
    <w:p w14:paraId="5AF28232" w14:textId="77777777" w:rsidR="009A2E10" w:rsidRPr="00E433B8" w:rsidRDefault="009A2E10" w:rsidP="009A2E10">
      <w:pPr>
        <w:spacing w:beforeLines="50" w:before="156" w:afterLines="50" w:after="156"/>
        <w:rPr>
          <w:rFonts w:ascii="Times New Roman" w:hAnsi="Times New Roman"/>
          <w:b/>
          <w:bCs/>
          <w:sz w:val="22"/>
        </w:rPr>
      </w:pPr>
      <w:r w:rsidRPr="00E433B8">
        <w:rPr>
          <w:rFonts w:ascii="Times New Roman" w:hAnsi="Times New Roman" w:hint="eastAsia"/>
          <w:b/>
          <w:bCs/>
          <w:sz w:val="22"/>
        </w:rPr>
        <w:t xml:space="preserve">Observation 5: </w:t>
      </w:r>
      <w:r w:rsidRPr="00E433B8">
        <w:rPr>
          <w:rFonts w:ascii="Times New Roman" w:hAnsi="Times New Roman"/>
          <w:b/>
          <w:bCs/>
          <w:sz w:val="22"/>
        </w:rPr>
        <w:t>If the device is unable to determine its position meeting operator policy within the Geo-Fencing Maximum Wait Time, it shall present the alert to the user and discontinue further positioning determination for the alert.</w:t>
      </w:r>
    </w:p>
    <w:p w14:paraId="6AFF12B3" w14:textId="77777777" w:rsidR="009A2E10" w:rsidRPr="00573C4C" w:rsidRDefault="009A2E10" w:rsidP="009A2E10">
      <w:pPr>
        <w:spacing w:beforeLines="50" w:before="156" w:afterLines="50" w:after="156"/>
        <w:rPr>
          <w:rFonts w:ascii="Times New Roman" w:hAnsi="Times New Roman"/>
          <w:b/>
          <w:bCs/>
          <w:sz w:val="22"/>
        </w:rPr>
      </w:pPr>
      <w:r w:rsidRPr="00573C4C">
        <w:rPr>
          <w:rFonts w:ascii="Times New Roman" w:hAnsi="Times New Roman"/>
          <w:b/>
          <w:bCs/>
          <w:sz w:val="22"/>
        </w:rPr>
        <w:t xml:space="preserve">Observation </w:t>
      </w:r>
      <w:r w:rsidRPr="00573C4C">
        <w:rPr>
          <w:rFonts w:ascii="Times New Roman" w:hAnsi="Times New Roman" w:hint="eastAsia"/>
          <w:b/>
          <w:bCs/>
          <w:sz w:val="22"/>
        </w:rPr>
        <w:t>6</w:t>
      </w:r>
      <w:r w:rsidRPr="00573C4C">
        <w:rPr>
          <w:rFonts w:ascii="Times New Roman" w:hAnsi="Times New Roman"/>
          <w:b/>
          <w:bCs/>
          <w:sz w:val="22"/>
        </w:rPr>
        <w:t>: Except for Write-Replace Warning Request, the legacy PWS procedures between gNB and AMF can only indicate cell-level PWS information.</w:t>
      </w:r>
    </w:p>
    <w:p w14:paraId="4107CB1E" w14:textId="581133EA" w:rsidR="00A90536" w:rsidRDefault="009A4608" w:rsidP="00D4294B">
      <w:pPr>
        <w:spacing w:beforeLines="50" w:before="156" w:afterLines="50" w:after="156"/>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5C8187B6" w14:textId="1D22EB54" w:rsidR="009A2E10" w:rsidRPr="004D2A48" w:rsidRDefault="009A2E10" w:rsidP="009A2E10">
      <w:pPr>
        <w:spacing w:beforeLines="50" w:before="156" w:afterLines="50" w:after="156"/>
        <w:rPr>
          <w:rFonts w:ascii="Times New Roman" w:hAnsi="Times New Roman"/>
          <w:b/>
          <w:bCs/>
          <w:sz w:val="22"/>
        </w:rPr>
      </w:pPr>
      <w:r w:rsidRPr="004D2A48">
        <w:rPr>
          <w:rFonts w:ascii="Times New Roman" w:hAnsi="Times New Roman"/>
          <w:b/>
          <w:bCs/>
          <w:sz w:val="22"/>
        </w:rPr>
        <w:t xml:space="preserve">Proposal 1: For ETWS broadcast service area indication, RAN2 can discuss whether </w:t>
      </w:r>
      <w:r w:rsidRPr="004D2A48">
        <w:rPr>
          <w:rFonts w:ascii="Times New Roman" w:hAnsi="Times New Roman" w:hint="eastAsia"/>
          <w:b/>
          <w:bCs/>
          <w:sz w:val="22"/>
        </w:rPr>
        <w:t xml:space="preserve">the format of </w:t>
      </w:r>
      <w:r w:rsidRPr="004D2A48">
        <w:rPr>
          <w:rFonts w:ascii="Times New Roman" w:hAnsi="Times New Roman"/>
          <w:b/>
          <w:bCs/>
          <w:i/>
          <w:iCs/>
          <w:sz w:val="22"/>
        </w:rPr>
        <w:t>warningAreaCoordinatesSegment</w:t>
      </w:r>
      <w:r w:rsidRPr="004D2A48">
        <w:rPr>
          <w:rFonts w:ascii="Times New Roman" w:hAnsi="Times New Roman"/>
          <w:b/>
          <w:bCs/>
          <w:sz w:val="22"/>
        </w:rPr>
        <w:t xml:space="preserve"> for CMAS is sufficient for NTN deployment.</w:t>
      </w:r>
    </w:p>
    <w:p w14:paraId="70403BF6" w14:textId="58C51E29" w:rsidR="009A2E10" w:rsidRPr="00156413" w:rsidRDefault="009A2E10" w:rsidP="009A2E10">
      <w:pPr>
        <w:spacing w:beforeLines="50" w:before="156" w:afterLines="50" w:after="156"/>
        <w:rPr>
          <w:rFonts w:ascii="Times New Roman" w:hAnsi="Times New Roman"/>
          <w:b/>
          <w:bCs/>
          <w:sz w:val="22"/>
        </w:rPr>
      </w:pPr>
      <w:r w:rsidRPr="00156413">
        <w:rPr>
          <w:rFonts w:ascii="Times New Roman" w:hAnsi="Times New Roman"/>
          <w:b/>
          <w:bCs/>
          <w:sz w:val="22"/>
        </w:rPr>
        <w:t xml:space="preserve">Proposal 2: </w:t>
      </w:r>
      <w:r w:rsidR="00445B3A">
        <w:rPr>
          <w:rFonts w:ascii="Times New Roman" w:hAnsi="Times New Roman" w:hint="eastAsia"/>
          <w:b/>
          <w:bCs/>
          <w:sz w:val="22"/>
        </w:rPr>
        <w:t>For</w:t>
      </w:r>
      <w:r w:rsidRPr="00156413">
        <w:rPr>
          <w:rFonts w:ascii="Times New Roman" w:hAnsi="Times New Roman"/>
          <w:b/>
          <w:bCs/>
          <w:sz w:val="22"/>
        </w:rPr>
        <w:t xml:space="preserve"> </w:t>
      </w:r>
      <w:r w:rsidRPr="00156413">
        <w:rPr>
          <w:rFonts w:ascii="Times New Roman" w:hAnsi="Times New Roman"/>
          <w:b/>
          <w:bCs/>
          <w:i/>
          <w:iCs/>
          <w:sz w:val="22"/>
        </w:rPr>
        <w:t>warningAreaCoordinatesSegment</w:t>
      </w:r>
      <w:r w:rsidRPr="00156413">
        <w:rPr>
          <w:rFonts w:ascii="Times New Roman" w:hAnsi="Times New Roman"/>
          <w:b/>
          <w:bCs/>
          <w:sz w:val="22"/>
        </w:rPr>
        <w:t xml:space="preserve"> used to indicate the Geo-Fencing Maximum Wait Time, RAN2 to </w:t>
      </w:r>
      <w:r w:rsidRPr="00156413">
        <w:rPr>
          <w:rFonts w:ascii="Times New Roman" w:hAnsi="Times New Roman" w:hint="eastAsia"/>
          <w:b/>
          <w:bCs/>
          <w:sz w:val="22"/>
        </w:rPr>
        <w:t xml:space="preserve">decide whether to </w:t>
      </w:r>
      <w:r w:rsidRPr="00156413">
        <w:rPr>
          <w:rFonts w:ascii="Times New Roman" w:hAnsi="Times New Roman"/>
          <w:b/>
          <w:bCs/>
          <w:sz w:val="22"/>
        </w:rPr>
        <w:t xml:space="preserve">discuss its impact on </w:t>
      </w:r>
      <w:r w:rsidRPr="00156413">
        <w:rPr>
          <w:rFonts w:ascii="Times New Roman" w:hAnsi="Times New Roman" w:hint="eastAsia"/>
          <w:b/>
          <w:bCs/>
          <w:sz w:val="22"/>
        </w:rPr>
        <w:t>positioning triggering and TA update</w:t>
      </w:r>
      <w:r w:rsidRPr="00156413">
        <w:rPr>
          <w:rFonts w:ascii="Times New Roman" w:hAnsi="Times New Roman"/>
          <w:b/>
          <w:bCs/>
          <w:sz w:val="22"/>
        </w:rPr>
        <w:t xml:space="preserve"> in </w:t>
      </w:r>
      <w:r w:rsidRPr="00156413">
        <w:rPr>
          <w:rFonts w:ascii="Times New Roman" w:hAnsi="Times New Roman" w:hint="eastAsia"/>
          <w:b/>
          <w:bCs/>
          <w:sz w:val="22"/>
        </w:rPr>
        <w:t xml:space="preserve">NR </w:t>
      </w:r>
      <w:r w:rsidRPr="00156413">
        <w:rPr>
          <w:rFonts w:ascii="Times New Roman" w:hAnsi="Times New Roman"/>
          <w:b/>
          <w:bCs/>
          <w:sz w:val="22"/>
        </w:rPr>
        <w:t xml:space="preserve">NTN </w:t>
      </w:r>
      <w:r w:rsidRPr="00156413">
        <w:rPr>
          <w:rFonts w:ascii="Times New Roman" w:hAnsi="Times New Roman" w:hint="eastAsia"/>
          <w:b/>
          <w:bCs/>
          <w:sz w:val="22"/>
        </w:rPr>
        <w:t>or leave it to UE implementation</w:t>
      </w:r>
      <w:r w:rsidRPr="00156413">
        <w:rPr>
          <w:rFonts w:ascii="Times New Roman" w:hAnsi="Times New Roman"/>
          <w:b/>
          <w:bCs/>
          <w:sz w:val="22"/>
        </w:rPr>
        <w:t>.</w:t>
      </w:r>
    </w:p>
    <w:p w14:paraId="18478002" w14:textId="76280D7D" w:rsidR="005C389C" w:rsidRPr="00D4294B" w:rsidRDefault="009A2E10" w:rsidP="009A2E10">
      <w:pPr>
        <w:spacing w:beforeLines="50" w:before="156" w:afterLines="50" w:after="156"/>
        <w:rPr>
          <w:rFonts w:ascii="Times New Roman" w:hAnsi="Times New Roman"/>
          <w:b/>
          <w:bCs/>
          <w:sz w:val="22"/>
        </w:rPr>
      </w:pPr>
      <w:r w:rsidRPr="00573C4C">
        <w:rPr>
          <w:rFonts w:ascii="Times New Roman" w:hAnsi="Times New Roman"/>
          <w:b/>
          <w:bCs/>
          <w:sz w:val="22"/>
        </w:rPr>
        <w:t>Proposal 3: For emergency broadcast service in a geographical area smaller than an NTN cell, RAN2 to discuss whether emergency broadcast service area information is needed for PWS procedures other than Write-Replace Warning Request. (Send LS to RAN3 if needed)</w:t>
      </w:r>
    </w:p>
    <w:sectPr w:rsidR="005C389C" w:rsidRPr="00D4294B"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29694" w14:textId="77777777" w:rsidR="008C72CB" w:rsidRDefault="008C72CB">
      <w:r>
        <w:separator/>
      </w:r>
    </w:p>
  </w:endnote>
  <w:endnote w:type="continuationSeparator" w:id="0">
    <w:p w14:paraId="553A1FF0" w14:textId="77777777" w:rsidR="008C72CB" w:rsidRDefault="008C7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9B4C1" w14:textId="77777777" w:rsidR="008C72CB" w:rsidRDefault="008C72CB">
      <w:r>
        <w:separator/>
      </w:r>
    </w:p>
  </w:footnote>
  <w:footnote w:type="continuationSeparator" w:id="0">
    <w:p w14:paraId="520FFEAA" w14:textId="77777777" w:rsidR="008C72CB" w:rsidRDefault="008C7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B402CD8"/>
    <w:multiLevelType w:val="hybridMultilevel"/>
    <w:tmpl w:val="4AC2672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652B7E"/>
    <w:multiLevelType w:val="hybridMultilevel"/>
    <w:tmpl w:val="62245E6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4252B8"/>
    <w:multiLevelType w:val="hybridMultilevel"/>
    <w:tmpl w:val="8E20EFCC"/>
    <w:lvl w:ilvl="0" w:tplc="74D23E16">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3557115D"/>
    <w:multiLevelType w:val="hybridMultilevel"/>
    <w:tmpl w:val="A0902BBA"/>
    <w:lvl w:ilvl="0" w:tplc="11CE7FAA">
      <w:start w:val="4"/>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A2130A6"/>
    <w:multiLevelType w:val="hybridMultilevel"/>
    <w:tmpl w:val="0A30166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DF10548"/>
    <w:multiLevelType w:val="hybridMultilevel"/>
    <w:tmpl w:val="B3B6BE1C"/>
    <w:lvl w:ilvl="0" w:tplc="F118BF7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698862E4"/>
    <w:multiLevelType w:val="hybridMultilevel"/>
    <w:tmpl w:val="4058F85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F451D6"/>
    <w:multiLevelType w:val="hybridMultilevel"/>
    <w:tmpl w:val="6A82610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1"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3"/>
  </w:num>
  <w:num w:numId="2" w16cid:durableId="1984658315">
    <w:abstractNumId w:val="2"/>
  </w:num>
  <w:num w:numId="3" w16cid:durableId="722876610">
    <w:abstractNumId w:val="36"/>
  </w:num>
  <w:num w:numId="4" w16cid:durableId="859195836">
    <w:abstractNumId w:val="35"/>
  </w:num>
  <w:num w:numId="5" w16cid:durableId="220140937">
    <w:abstractNumId w:val="12"/>
  </w:num>
  <w:num w:numId="6" w16cid:durableId="1734040883">
    <w:abstractNumId w:val="32"/>
  </w:num>
  <w:num w:numId="7" w16cid:durableId="2045521902">
    <w:abstractNumId w:val="6"/>
  </w:num>
  <w:num w:numId="8" w16cid:durableId="163935166">
    <w:abstractNumId w:val="19"/>
  </w:num>
  <w:num w:numId="9" w16cid:durableId="1679574324">
    <w:abstractNumId w:val="5"/>
  </w:num>
  <w:num w:numId="10" w16cid:durableId="75370074">
    <w:abstractNumId w:val="20"/>
  </w:num>
  <w:num w:numId="11" w16cid:durableId="1796754296">
    <w:abstractNumId w:val="3"/>
  </w:num>
  <w:num w:numId="12" w16cid:durableId="384646512">
    <w:abstractNumId w:val="17"/>
  </w:num>
  <w:num w:numId="13" w16cid:durableId="1573813467">
    <w:abstractNumId w:val="27"/>
  </w:num>
  <w:num w:numId="14" w16cid:durableId="1493519478">
    <w:abstractNumId w:val="7"/>
  </w:num>
  <w:num w:numId="15" w16cid:durableId="127743599">
    <w:abstractNumId w:val="39"/>
  </w:num>
  <w:num w:numId="16" w16cid:durableId="1895191140">
    <w:abstractNumId w:val="40"/>
  </w:num>
  <w:num w:numId="17" w16cid:durableId="828903070">
    <w:abstractNumId w:val="1"/>
  </w:num>
  <w:num w:numId="18" w16cid:durableId="1821799038">
    <w:abstractNumId w:val="10"/>
  </w:num>
  <w:num w:numId="19" w16cid:durableId="985160454">
    <w:abstractNumId w:val="25"/>
  </w:num>
  <w:num w:numId="20" w16cid:durableId="1390036946">
    <w:abstractNumId w:val="0"/>
  </w:num>
  <w:num w:numId="21" w16cid:durableId="381757924">
    <w:abstractNumId w:val="30"/>
  </w:num>
  <w:num w:numId="22" w16cid:durableId="1834640208">
    <w:abstractNumId w:val="4"/>
  </w:num>
  <w:num w:numId="23" w16cid:durableId="303239897">
    <w:abstractNumId w:val="16"/>
  </w:num>
  <w:num w:numId="24" w16cid:durableId="1178815800">
    <w:abstractNumId w:val="11"/>
  </w:num>
  <w:num w:numId="25" w16cid:durableId="1387993154">
    <w:abstractNumId w:val="29"/>
  </w:num>
  <w:num w:numId="26" w16cid:durableId="940138824">
    <w:abstractNumId w:val="31"/>
  </w:num>
  <w:num w:numId="27" w16cid:durableId="871189877">
    <w:abstractNumId w:val="28"/>
  </w:num>
  <w:num w:numId="28" w16cid:durableId="418596070">
    <w:abstractNumId w:val="41"/>
  </w:num>
  <w:num w:numId="29" w16cid:durableId="1149438441">
    <w:abstractNumId w:val="21"/>
  </w:num>
  <w:num w:numId="30" w16cid:durableId="1023165204">
    <w:abstractNumId w:val="38"/>
  </w:num>
  <w:num w:numId="31" w16cid:durableId="730009029">
    <w:abstractNumId w:val="15"/>
  </w:num>
  <w:num w:numId="32" w16cid:durableId="2073652555">
    <w:abstractNumId w:val="13"/>
  </w:num>
  <w:num w:numId="33" w16cid:durableId="483818738">
    <w:abstractNumId w:val="14"/>
  </w:num>
  <w:num w:numId="34" w16cid:durableId="131290464">
    <w:abstractNumId w:val="8"/>
  </w:num>
  <w:num w:numId="35" w16cid:durableId="113252007">
    <w:abstractNumId w:val="23"/>
  </w:num>
  <w:num w:numId="36" w16cid:durableId="1211528512">
    <w:abstractNumId w:val="34"/>
  </w:num>
  <w:num w:numId="37" w16cid:durableId="1546332190">
    <w:abstractNumId w:val="18"/>
  </w:num>
  <w:num w:numId="38" w16cid:durableId="729577724">
    <w:abstractNumId w:val="26"/>
  </w:num>
  <w:num w:numId="39" w16cid:durableId="898856084">
    <w:abstractNumId w:val="9"/>
  </w:num>
  <w:num w:numId="40" w16cid:durableId="1023097792">
    <w:abstractNumId w:val="37"/>
  </w:num>
  <w:num w:numId="41" w16cid:durableId="1453130626">
    <w:abstractNumId w:val="24"/>
  </w:num>
  <w:num w:numId="42" w16cid:durableId="31799940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4E43"/>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BEF"/>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6D56"/>
    <w:rsid w:val="000570F6"/>
    <w:rsid w:val="000578B0"/>
    <w:rsid w:val="00060C01"/>
    <w:rsid w:val="00061878"/>
    <w:rsid w:val="0006235F"/>
    <w:rsid w:val="0006328A"/>
    <w:rsid w:val="000632BA"/>
    <w:rsid w:val="0006426A"/>
    <w:rsid w:val="00064478"/>
    <w:rsid w:val="00064D91"/>
    <w:rsid w:val="00065039"/>
    <w:rsid w:val="000658FE"/>
    <w:rsid w:val="0006594E"/>
    <w:rsid w:val="00065A1F"/>
    <w:rsid w:val="000664C5"/>
    <w:rsid w:val="00066952"/>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B4C"/>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5EF"/>
    <w:rsid w:val="000966B5"/>
    <w:rsid w:val="00096CFD"/>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2F72"/>
    <w:rsid w:val="000B3378"/>
    <w:rsid w:val="000B3B4E"/>
    <w:rsid w:val="000B3E20"/>
    <w:rsid w:val="000B5102"/>
    <w:rsid w:val="000B5713"/>
    <w:rsid w:val="000B5950"/>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5FD7"/>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482"/>
    <w:rsid w:val="00145585"/>
    <w:rsid w:val="00145CE4"/>
    <w:rsid w:val="00146028"/>
    <w:rsid w:val="0014606C"/>
    <w:rsid w:val="00146323"/>
    <w:rsid w:val="00146A1D"/>
    <w:rsid w:val="00147919"/>
    <w:rsid w:val="00150D23"/>
    <w:rsid w:val="00150EBF"/>
    <w:rsid w:val="0015147B"/>
    <w:rsid w:val="00151F7F"/>
    <w:rsid w:val="00152559"/>
    <w:rsid w:val="001526A4"/>
    <w:rsid w:val="00153D0E"/>
    <w:rsid w:val="00153ECC"/>
    <w:rsid w:val="001540EE"/>
    <w:rsid w:val="001541FA"/>
    <w:rsid w:val="001544CE"/>
    <w:rsid w:val="00154844"/>
    <w:rsid w:val="00154936"/>
    <w:rsid w:val="00155426"/>
    <w:rsid w:val="0015566A"/>
    <w:rsid w:val="00156413"/>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481"/>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88A"/>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0E0C"/>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B22"/>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0AE3"/>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28C"/>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3C79"/>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1C4"/>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2BB3"/>
    <w:rsid w:val="0030306D"/>
    <w:rsid w:val="0030335C"/>
    <w:rsid w:val="00303806"/>
    <w:rsid w:val="00303844"/>
    <w:rsid w:val="00303C20"/>
    <w:rsid w:val="00303CC5"/>
    <w:rsid w:val="00303E64"/>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ECE"/>
    <w:rsid w:val="00350F0A"/>
    <w:rsid w:val="0035116C"/>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963"/>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A75"/>
    <w:rsid w:val="003A5F12"/>
    <w:rsid w:val="003A6076"/>
    <w:rsid w:val="003A636F"/>
    <w:rsid w:val="003A6BF1"/>
    <w:rsid w:val="003A7286"/>
    <w:rsid w:val="003A7587"/>
    <w:rsid w:val="003A7982"/>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72B"/>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4BA"/>
    <w:rsid w:val="003D3CE1"/>
    <w:rsid w:val="003D3E66"/>
    <w:rsid w:val="003D43D8"/>
    <w:rsid w:val="003D4654"/>
    <w:rsid w:val="003D4942"/>
    <w:rsid w:val="003D4C59"/>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792"/>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C13"/>
    <w:rsid w:val="00441F45"/>
    <w:rsid w:val="00442031"/>
    <w:rsid w:val="0044292A"/>
    <w:rsid w:val="00442C16"/>
    <w:rsid w:val="004433B4"/>
    <w:rsid w:val="0044453B"/>
    <w:rsid w:val="00444D80"/>
    <w:rsid w:val="00444DDD"/>
    <w:rsid w:val="00444E6F"/>
    <w:rsid w:val="00444F34"/>
    <w:rsid w:val="00445B3A"/>
    <w:rsid w:val="00445D38"/>
    <w:rsid w:val="00445DAA"/>
    <w:rsid w:val="004463CC"/>
    <w:rsid w:val="004476B1"/>
    <w:rsid w:val="00450862"/>
    <w:rsid w:val="00450A2D"/>
    <w:rsid w:val="00450ACC"/>
    <w:rsid w:val="00451735"/>
    <w:rsid w:val="0045237D"/>
    <w:rsid w:val="00452CCB"/>
    <w:rsid w:val="00452CDF"/>
    <w:rsid w:val="00452D99"/>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26D1"/>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E3D"/>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2A48"/>
    <w:rsid w:val="004D3233"/>
    <w:rsid w:val="004D329E"/>
    <w:rsid w:val="004D34BC"/>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CA"/>
    <w:rsid w:val="004E5802"/>
    <w:rsid w:val="004E5D0C"/>
    <w:rsid w:val="004E5DFA"/>
    <w:rsid w:val="004E65F1"/>
    <w:rsid w:val="004E69B0"/>
    <w:rsid w:val="004E6BB1"/>
    <w:rsid w:val="004E6E2B"/>
    <w:rsid w:val="004E7BDC"/>
    <w:rsid w:val="004E7C6A"/>
    <w:rsid w:val="004F0015"/>
    <w:rsid w:val="004F0810"/>
    <w:rsid w:val="004F0821"/>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6C54"/>
    <w:rsid w:val="00556D5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3C4C"/>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9D4"/>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818"/>
    <w:rsid w:val="005B2CCA"/>
    <w:rsid w:val="005B2E8C"/>
    <w:rsid w:val="005B2EBD"/>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42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A1E"/>
    <w:rsid w:val="005F3BCF"/>
    <w:rsid w:val="005F3E8C"/>
    <w:rsid w:val="005F3ECB"/>
    <w:rsid w:val="005F5842"/>
    <w:rsid w:val="005F5F4D"/>
    <w:rsid w:val="005F6738"/>
    <w:rsid w:val="005F6856"/>
    <w:rsid w:val="005F6E92"/>
    <w:rsid w:val="005F6EC8"/>
    <w:rsid w:val="005F7410"/>
    <w:rsid w:val="005F77E3"/>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4BB"/>
    <w:rsid w:val="0061575A"/>
    <w:rsid w:val="00615FA4"/>
    <w:rsid w:val="00616AEC"/>
    <w:rsid w:val="00616BEB"/>
    <w:rsid w:val="0061724B"/>
    <w:rsid w:val="006172B9"/>
    <w:rsid w:val="00617FBD"/>
    <w:rsid w:val="0062005A"/>
    <w:rsid w:val="006200BC"/>
    <w:rsid w:val="006210C2"/>
    <w:rsid w:val="00621EA2"/>
    <w:rsid w:val="0062259E"/>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09D"/>
    <w:rsid w:val="006337C8"/>
    <w:rsid w:val="006339AD"/>
    <w:rsid w:val="00633C9A"/>
    <w:rsid w:val="00634009"/>
    <w:rsid w:val="0063441A"/>
    <w:rsid w:val="00634D0E"/>
    <w:rsid w:val="0063513A"/>
    <w:rsid w:val="006354AB"/>
    <w:rsid w:val="006358C9"/>
    <w:rsid w:val="00636267"/>
    <w:rsid w:val="00636295"/>
    <w:rsid w:val="00636361"/>
    <w:rsid w:val="00636BE6"/>
    <w:rsid w:val="0063747F"/>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12B"/>
    <w:rsid w:val="006673C9"/>
    <w:rsid w:val="006673F2"/>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5D5"/>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C8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422"/>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EA7"/>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94B"/>
    <w:rsid w:val="00725D3B"/>
    <w:rsid w:val="00725F29"/>
    <w:rsid w:val="00726363"/>
    <w:rsid w:val="00726369"/>
    <w:rsid w:val="00726F9F"/>
    <w:rsid w:val="0072713F"/>
    <w:rsid w:val="00727717"/>
    <w:rsid w:val="00730402"/>
    <w:rsid w:val="00730A99"/>
    <w:rsid w:val="007314BF"/>
    <w:rsid w:val="0073178F"/>
    <w:rsid w:val="00731EA0"/>
    <w:rsid w:val="007328FC"/>
    <w:rsid w:val="007336B7"/>
    <w:rsid w:val="0073377F"/>
    <w:rsid w:val="007342F2"/>
    <w:rsid w:val="00734E53"/>
    <w:rsid w:val="00735CE8"/>
    <w:rsid w:val="00736B02"/>
    <w:rsid w:val="00736DB1"/>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867"/>
    <w:rsid w:val="00774913"/>
    <w:rsid w:val="00774B9D"/>
    <w:rsid w:val="00774C1E"/>
    <w:rsid w:val="00775408"/>
    <w:rsid w:val="007757E0"/>
    <w:rsid w:val="00775C68"/>
    <w:rsid w:val="00776283"/>
    <w:rsid w:val="007766B4"/>
    <w:rsid w:val="0077697F"/>
    <w:rsid w:val="00776D17"/>
    <w:rsid w:val="00776D2A"/>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7CA"/>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15E"/>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4F1C"/>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174"/>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077"/>
    <w:rsid w:val="008401FE"/>
    <w:rsid w:val="00840819"/>
    <w:rsid w:val="0084164F"/>
    <w:rsid w:val="00841FFA"/>
    <w:rsid w:val="00843A8B"/>
    <w:rsid w:val="00844F15"/>
    <w:rsid w:val="008454BE"/>
    <w:rsid w:val="00845919"/>
    <w:rsid w:val="00846B90"/>
    <w:rsid w:val="00846F34"/>
    <w:rsid w:val="0084705C"/>
    <w:rsid w:val="00847635"/>
    <w:rsid w:val="00847FB8"/>
    <w:rsid w:val="008503C6"/>
    <w:rsid w:val="00850D58"/>
    <w:rsid w:val="00851591"/>
    <w:rsid w:val="008516B6"/>
    <w:rsid w:val="008517BB"/>
    <w:rsid w:val="0085315D"/>
    <w:rsid w:val="008533F2"/>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B47"/>
    <w:rsid w:val="008B1161"/>
    <w:rsid w:val="008B138F"/>
    <w:rsid w:val="008B22F5"/>
    <w:rsid w:val="008B267B"/>
    <w:rsid w:val="008B2C9D"/>
    <w:rsid w:val="008B31B4"/>
    <w:rsid w:val="008B3550"/>
    <w:rsid w:val="008B3E63"/>
    <w:rsid w:val="008B41DB"/>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2CB"/>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47B"/>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5C4"/>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B2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C66"/>
    <w:rsid w:val="00980F2C"/>
    <w:rsid w:val="00981F01"/>
    <w:rsid w:val="00981FE3"/>
    <w:rsid w:val="0098222B"/>
    <w:rsid w:val="0098251A"/>
    <w:rsid w:val="00982659"/>
    <w:rsid w:val="009826B9"/>
    <w:rsid w:val="009827A9"/>
    <w:rsid w:val="00982BB9"/>
    <w:rsid w:val="00983411"/>
    <w:rsid w:val="009838A9"/>
    <w:rsid w:val="00983DAA"/>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2E10"/>
    <w:rsid w:val="009A3E94"/>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166"/>
    <w:rsid w:val="009D3832"/>
    <w:rsid w:val="009D3B1F"/>
    <w:rsid w:val="009D3B64"/>
    <w:rsid w:val="009D414D"/>
    <w:rsid w:val="009D43C7"/>
    <w:rsid w:val="009D46B3"/>
    <w:rsid w:val="009D5273"/>
    <w:rsid w:val="009D568A"/>
    <w:rsid w:val="009D57DE"/>
    <w:rsid w:val="009D5D75"/>
    <w:rsid w:val="009D5E01"/>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5327"/>
    <w:rsid w:val="00A0681F"/>
    <w:rsid w:val="00A07C08"/>
    <w:rsid w:val="00A100A4"/>
    <w:rsid w:val="00A105C8"/>
    <w:rsid w:val="00A10B99"/>
    <w:rsid w:val="00A10E34"/>
    <w:rsid w:val="00A11BBA"/>
    <w:rsid w:val="00A11F83"/>
    <w:rsid w:val="00A1237E"/>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083"/>
    <w:rsid w:val="00A621C3"/>
    <w:rsid w:val="00A624B6"/>
    <w:rsid w:val="00A627AD"/>
    <w:rsid w:val="00A633D2"/>
    <w:rsid w:val="00A63DAD"/>
    <w:rsid w:val="00A63ECB"/>
    <w:rsid w:val="00A63F1D"/>
    <w:rsid w:val="00A63F77"/>
    <w:rsid w:val="00A64083"/>
    <w:rsid w:val="00A646A2"/>
    <w:rsid w:val="00A64B3F"/>
    <w:rsid w:val="00A64B4E"/>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BB7"/>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1EE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3D1E"/>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232"/>
    <w:rsid w:val="00AD0A07"/>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6D6"/>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C87"/>
    <w:rsid w:val="00B00F5B"/>
    <w:rsid w:val="00B01658"/>
    <w:rsid w:val="00B037F6"/>
    <w:rsid w:val="00B03B02"/>
    <w:rsid w:val="00B044AE"/>
    <w:rsid w:val="00B045FF"/>
    <w:rsid w:val="00B04A95"/>
    <w:rsid w:val="00B0521D"/>
    <w:rsid w:val="00B053D9"/>
    <w:rsid w:val="00B05679"/>
    <w:rsid w:val="00B06602"/>
    <w:rsid w:val="00B06952"/>
    <w:rsid w:val="00B06DFF"/>
    <w:rsid w:val="00B0726E"/>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598B"/>
    <w:rsid w:val="00B260FA"/>
    <w:rsid w:val="00B26A09"/>
    <w:rsid w:val="00B27298"/>
    <w:rsid w:val="00B301E5"/>
    <w:rsid w:val="00B30632"/>
    <w:rsid w:val="00B30A56"/>
    <w:rsid w:val="00B30B4A"/>
    <w:rsid w:val="00B313A3"/>
    <w:rsid w:val="00B316D4"/>
    <w:rsid w:val="00B332FA"/>
    <w:rsid w:val="00B33C93"/>
    <w:rsid w:val="00B34211"/>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9D"/>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45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5FDA"/>
    <w:rsid w:val="00B967CA"/>
    <w:rsid w:val="00B96A1A"/>
    <w:rsid w:val="00B96DEB"/>
    <w:rsid w:val="00B970B2"/>
    <w:rsid w:val="00B972F9"/>
    <w:rsid w:val="00B97A97"/>
    <w:rsid w:val="00B97BA6"/>
    <w:rsid w:val="00BA06EF"/>
    <w:rsid w:val="00BA0843"/>
    <w:rsid w:val="00BA11FE"/>
    <w:rsid w:val="00BA13A8"/>
    <w:rsid w:val="00BA13E6"/>
    <w:rsid w:val="00BA16B8"/>
    <w:rsid w:val="00BA19D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A3A"/>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36"/>
    <w:rsid w:val="00BF5464"/>
    <w:rsid w:val="00BF59EA"/>
    <w:rsid w:val="00BF5E7D"/>
    <w:rsid w:val="00BF5F96"/>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0E3A"/>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6C7"/>
    <w:rsid w:val="00C23C76"/>
    <w:rsid w:val="00C23D89"/>
    <w:rsid w:val="00C23FA0"/>
    <w:rsid w:val="00C246FB"/>
    <w:rsid w:val="00C24A1A"/>
    <w:rsid w:val="00C24B14"/>
    <w:rsid w:val="00C262BC"/>
    <w:rsid w:val="00C268FE"/>
    <w:rsid w:val="00C2791F"/>
    <w:rsid w:val="00C27BB1"/>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0D2F"/>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4A72"/>
    <w:rsid w:val="00CC5210"/>
    <w:rsid w:val="00CC5409"/>
    <w:rsid w:val="00CC5461"/>
    <w:rsid w:val="00CC5911"/>
    <w:rsid w:val="00CC5FE0"/>
    <w:rsid w:val="00CC607B"/>
    <w:rsid w:val="00CC623C"/>
    <w:rsid w:val="00CC62B7"/>
    <w:rsid w:val="00CC6DA5"/>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598"/>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766"/>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94B"/>
    <w:rsid w:val="00D42F3D"/>
    <w:rsid w:val="00D43076"/>
    <w:rsid w:val="00D43671"/>
    <w:rsid w:val="00D436AF"/>
    <w:rsid w:val="00D437B4"/>
    <w:rsid w:val="00D43DA1"/>
    <w:rsid w:val="00D44456"/>
    <w:rsid w:val="00D44B12"/>
    <w:rsid w:val="00D452D9"/>
    <w:rsid w:val="00D45FAE"/>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61A"/>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733"/>
    <w:rsid w:val="00D66CE0"/>
    <w:rsid w:val="00D6768A"/>
    <w:rsid w:val="00D6796B"/>
    <w:rsid w:val="00D67B8B"/>
    <w:rsid w:val="00D70554"/>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5A73"/>
    <w:rsid w:val="00D86F19"/>
    <w:rsid w:val="00D878DA"/>
    <w:rsid w:val="00D87FF7"/>
    <w:rsid w:val="00D9028F"/>
    <w:rsid w:val="00D9030F"/>
    <w:rsid w:val="00D90ECE"/>
    <w:rsid w:val="00D91032"/>
    <w:rsid w:val="00D91B70"/>
    <w:rsid w:val="00D92253"/>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4E63"/>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0BE"/>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5D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846"/>
    <w:rsid w:val="00E30F89"/>
    <w:rsid w:val="00E31785"/>
    <w:rsid w:val="00E321F2"/>
    <w:rsid w:val="00E32CC2"/>
    <w:rsid w:val="00E32DB0"/>
    <w:rsid w:val="00E32E8B"/>
    <w:rsid w:val="00E3317E"/>
    <w:rsid w:val="00E33894"/>
    <w:rsid w:val="00E33C1D"/>
    <w:rsid w:val="00E3516D"/>
    <w:rsid w:val="00E35B95"/>
    <w:rsid w:val="00E364E5"/>
    <w:rsid w:val="00E3683D"/>
    <w:rsid w:val="00E36AC7"/>
    <w:rsid w:val="00E36B3C"/>
    <w:rsid w:val="00E370BD"/>
    <w:rsid w:val="00E37A94"/>
    <w:rsid w:val="00E4015F"/>
    <w:rsid w:val="00E41158"/>
    <w:rsid w:val="00E421BA"/>
    <w:rsid w:val="00E42292"/>
    <w:rsid w:val="00E429EA"/>
    <w:rsid w:val="00E433B8"/>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C56"/>
    <w:rsid w:val="00E83F52"/>
    <w:rsid w:val="00E8421D"/>
    <w:rsid w:val="00E842E2"/>
    <w:rsid w:val="00E844C9"/>
    <w:rsid w:val="00E8542A"/>
    <w:rsid w:val="00E857B5"/>
    <w:rsid w:val="00E857ED"/>
    <w:rsid w:val="00E85D26"/>
    <w:rsid w:val="00E861B0"/>
    <w:rsid w:val="00E86612"/>
    <w:rsid w:val="00E86733"/>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6DCA"/>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06"/>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C4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363A"/>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2B23"/>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A7FE8"/>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9892</TotalTime>
  <Pages>5</Pages>
  <Words>1760</Words>
  <Characters>10037</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264</cp:revision>
  <cp:lastPrinted>2012-10-30T00:20:00Z</cp:lastPrinted>
  <dcterms:created xsi:type="dcterms:W3CDTF">2020-08-03T07:44:00Z</dcterms:created>
  <dcterms:modified xsi:type="dcterms:W3CDTF">2025-05-09T01:15:00Z</dcterms:modified>
</cp:coreProperties>
</file>